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81F0" w14:textId="5EBAB7C6" w:rsidR="0013275E" w:rsidRPr="0099305E" w:rsidRDefault="00EE7B8D" w:rsidP="00C61A95">
      <w:pPr>
        <w:pStyle w:val="SREBheader1"/>
      </w:pPr>
      <w:r w:rsidRPr="00EE7B8D">
        <w:rPr>
          <w:rFonts w:cs="Georgia"/>
          <w:bCs w:val="0"/>
          <w:color w:val="003087" w:themeColor="background1"/>
          <w:sz w:val="56"/>
          <w:szCs w:val="44"/>
        </w:rPr>
        <w:t>Sample Request for Approval Letter</w:t>
      </w:r>
    </w:p>
    <w:p w14:paraId="3F4B53A0" w14:textId="77777777" w:rsidR="00E1018B" w:rsidRDefault="00E1018B" w:rsidP="00E1018B">
      <w:pPr>
        <w:spacing w:after="187" w:line="266" w:lineRule="auto"/>
        <w:ind w:left="-5"/>
      </w:pPr>
      <w:r>
        <w:t>Dear [</w:t>
      </w:r>
      <w:r w:rsidRPr="005645BF">
        <w:rPr>
          <w:color w:val="005694"/>
        </w:rPr>
        <w:t>Colleague or Supervisor</w:t>
      </w:r>
      <w:r>
        <w:t xml:space="preserve">], </w:t>
      </w:r>
    </w:p>
    <w:p w14:paraId="47D3F99D" w14:textId="3163EBC0" w:rsidR="00E1018B" w:rsidRDefault="00E1018B" w:rsidP="00E1018B">
      <w:pPr>
        <w:spacing w:after="180" w:line="266" w:lineRule="auto"/>
        <w:ind w:left="-5" w:right="28"/>
      </w:pPr>
      <w:r>
        <w:t>I am writing to request approval to attend SREB’s 202</w:t>
      </w:r>
      <w:r w:rsidR="0099305E">
        <w:t>5</w:t>
      </w:r>
      <w:r>
        <w:t xml:space="preserve"> Making Schools Work Conference, July </w:t>
      </w:r>
      <w:r w:rsidR="0099305E">
        <w:t>15</w:t>
      </w:r>
      <w:r>
        <w:t>-1</w:t>
      </w:r>
      <w:r w:rsidR="0099305E">
        <w:t>8</w:t>
      </w:r>
      <w:r>
        <w:t>, at the</w:t>
      </w:r>
      <w:r>
        <w:rPr>
          <w:color w:val="066982"/>
        </w:rPr>
        <w:t xml:space="preserve"> </w:t>
      </w:r>
      <w:r w:rsidR="0099305E">
        <w:rPr>
          <w:color w:val="auto"/>
        </w:rPr>
        <w:t xml:space="preserve">Ernest N. </w:t>
      </w:r>
      <w:proofErr w:type="spellStart"/>
      <w:r w:rsidR="0099305E">
        <w:rPr>
          <w:color w:val="auto"/>
        </w:rPr>
        <w:t>Morial</w:t>
      </w:r>
      <w:proofErr w:type="spellEnd"/>
      <w:r w:rsidR="0099305E">
        <w:rPr>
          <w:color w:val="auto"/>
        </w:rPr>
        <w:t xml:space="preserve"> Convention Center</w:t>
      </w:r>
      <w:r w:rsidR="00173971">
        <w:rPr>
          <w:color w:val="auto"/>
        </w:rPr>
        <w:t xml:space="preserve"> in N</w:t>
      </w:r>
      <w:r w:rsidR="0099305E">
        <w:rPr>
          <w:color w:val="auto"/>
        </w:rPr>
        <w:t>ew Orleans</w:t>
      </w:r>
      <w:r w:rsidR="00173971">
        <w:rPr>
          <w:color w:val="auto"/>
        </w:rPr>
        <w:t xml:space="preserve">, </w:t>
      </w:r>
      <w:r w:rsidR="0099305E">
        <w:rPr>
          <w:color w:val="auto"/>
        </w:rPr>
        <w:t>Louisiana</w:t>
      </w:r>
      <w:r w:rsidRPr="00C82BD9">
        <w:rPr>
          <w:color w:val="auto"/>
        </w:rPr>
        <w:t xml:space="preserve">. </w:t>
      </w:r>
    </w:p>
    <w:p w14:paraId="2A1BE9BB" w14:textId="77777777" w:rsidR="00E1018B" w:rsidRDefault="00E1018B" w:rsidP="00E1018B">
      <w:pPr>
        <w:spacing w:after="180" w:line="266" w:lineRule="auto"/>
        <w:ind w:left="-5" w:right="28"/>
      </w:pPr>
      <w:r>
        <w:t>As you know, our improvement plans and professional learning goals at [</w:t>
      </w:r>
      <w:r w:rsidRPr="005645BF">
        <w:rPr>
          <w:color w:val="005694"/>
        </w:rPr>
        <w:t>name of your school or technology center</w:t>
      </w:r>
      <w:r>
        <w:t>] this year include [</w:t>
      </w:r>
      <w:r w:rsidRPr="005645BF">
        <w:rPr>
          <w:color w:val="005694"/>
        </w:rPr>
        <w:t>outline your school’s plans and goals</w:t>
      </w:r>
      <w:r>
        <w:t>]. These plans and goals align with [</w:t>
      </w:r>
      <w:r w:rsidRPr="005645BF">
        <w:rPr>
          <w:color w:val="005694"/>
        </w:rPr>
        <w:t>note number</w:t>
      </w:r>
      <w:r>
        <w:t>] of SREB’s conference objectives, including [</w:t>
      </w:r>
      <w:r w:rsidRPr="00F32130">
        <w:rPr>
          <w:color w:val="005694"/>
        </w:rPr>
        <w:t>note relevant objectives from the following page</w:t>
      </w:r>
      <w:r>
        <w:t>].</w:t>
      </w:r>
    </w:p>
    <w:p w14:paraId="0BE281C7" w14:textId="77777777" w:rsidR="00E1018B" w:rsidRDefault="00E1018B" w:rsidP="00E1018B">
      <w:pPr>
        <w:spacing w:after="180" w:line="266" w:lineRule="auto"/>
        <w:ind w:left="-5" w:right="28"/>
      </w:pPr>
      <w:r>
        <w:t>SREB’s Making Schools Work Conference features hundreds of keynotes, promising practices, networking and deep-dive sessions addressing topics like [</w:t>
      </w:r>
      <w:r w:rsidRPr="005645BF">
        <w:rPr>
          <w:color w:val="005694"/>
        </w:rPr>
        <w:t xml:space="preserve">note topics from </w:t>
      </w:r>
      <w:r>
        <w:rPr>
          <w:color w:val="005694"/>
        </w:rPr>
        <w:t>the following page</w:t>
      </w:r>
      <w:r>
        <w:t>]. Most sessions are led by practitioners and are designed to give attendees like me research-based, classroom-tested tools and strategies I can use right away to help students [</w:t>
      </w:r>
      <w:r w:rsidRPr="005645BF">
        <w:rPr>
          <w:color w:val="005694"/>
        </w:rPr>
        <w:t>describe specific benefits for students</w:t>
      </w:r>
      <w:r>
        <w:t>]</w:t>
      </w:r>
      <w:r>
        <w:rPr>
          <w:color w:val="066982"/>
        </w:rPr>
        <w:t>.</w:t>
      </w:r>
    </w:p>
    <w:p w14:paraId="0B9976C7" w14:textId="77777777" w:rsidR="00E1018B" w:rsidRDefault="00E1018B" w:rsidP="00E1018B">
      <w:pPr>
        <w:spacing w:line="266" w:lineRule="auto"/>
        <w:ind w:left="-5" w:right="28"/>
      </w:pPr>
      <w:r>
        <w:t>Here are some other advantages to attending SREB’s Making Schools Work Conference:</w:t>
      </w:r>
    </w:p>
    <w:p w14:paraId="7364F2BA" w14:textId="77777777" w:rsidR="00173971" w:rsidRDefault="00173971" w:rsidP="00E1018B">
      <w:pPr>
        <w:spacing w:line="266" w:lineRule="auto"/>
        <w:ind w:left="-5" w:right="28"/>
      </w:pPr>
    </w:p>
    <w:p w14:paraId="196E6EB6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Networking with thousands of elementary through high school educators from over 30 states</w:t>
      </w:r>
    </w:p>
    <w:p w14:paraId="3C99FB5B" w14:textId="02C0BDD3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Exploring critical issues like addressing unfinished learning from the COVID-19 pandemic, ensuring equitable access to quality instruction, addressing students’ mental health needs and the effects of poverty and trauma</w:t>
      </w:r>
    </w:p>
    <w:p w14:paraId="7A4CB795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Learning about and sharing promising practices with peers and experts</w:t>
      </w:r>
    </w:p>
    <w:p w14:paraId="6C2BD40D" w14:textId="35D32374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Exploring transformative literacy and mathematics practices that help students meet or exceed grade-level standards</w:t>
      </w:r>
    </w:p>
    <w:p w14:paraId="6872D98D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48" w:line="266" w:lineRule="auto"/>
        <w:ind w:right="28" w:hanging="360"/>
        <w:textAlignment w:val="auto"/>
      </w:pPr>
      <w:r>
        <w:t>Identifying ways to motivate students and help them make the connection between success in the classroom and their career and college options</w:t>
      </w:r>
    </w:p>
    <w:p w14:paraId="1910E68B" w14:textId="77777777" w:rsidR="00E1018B" w:rsidRDefault="00E1018B" w:rsidP="00E1018B">
      <w:pPr>
        <w:widowControl/>
        <w:numPr>
          <w:ilvl w:val="0"/>
          <w:numId w:val="28"/>
        </w:numPr>
        <w:suppressAutoHyphens w:val="0"/>
        <w:autoSpaceDE/>
        <w:autoSpaceDN/>
        <w:adjustRightInd/>
        <w:spacing w:after="179" w:line="266" w:lineRule="auto"/>
        <w:ind w:right="28" w:hanging="360"/>
        <w:textAlignment w:val="auto"/>
      </w:pPr>
      <w:r>
        <w:t>Participating in optional industry tours that offer an insider’s view of emerging career and college opportunities for students</w:t>
      </w:r>
    </w:p>
    <w:p w14:paraId="386920B0" w14:textId="77777777" w:rsidR="00E1018B" w:rsidRDefault="00E1018B" w:rsidP="00E1018B">
      <w:pPr>
        <w:spacing w:after="180" w:line="266" w:lineRule="auto"/>
        <w:ind w:left="-5" w:right="28"/>
      </w:pPr>
      <w:r>
        <w:t>When I return, I will share what I’ve learned with my team and other staff by sharing presentations, handouts and notes from the sessions I attend. I can also model tools and strategies I explored at the conference or host workshops for other educators at [</w:t>
      </w:r>
      <w:r w:rsidRPr="005645BF">
        <w:rPr>
          <w:color w:val="005694"/>
        </w:rPr>
        <w:t>your school or technology center</w:t>
      </w:r>
      <w:r>
        <w:t>].</w:t>
      </w:r>
    </w:p>
    <w:p w14:paraId="14EC3D89" w14:textId="6D41B7F9" w:rsidR="00173971" w:rsidRDefault="00E1018B" w:rsidP="00173971">
      <w:pPr>
        <w:spacing w:line="266" w:lineRule="auto"/>
        <w:ind w:left="-5" w:right="28"/>
      </w:pPr>
      <w:r>
        <w:t>The cost of attending SREB’s Making Schools Work Conference is low compared to many conferences.</w:t>
      </w:r>
      <w:r w:rsidRPr="000E3AA2">
        <w:rPr>
          <w:color w:val="auto"/>
        </w:rPr>
        <w:t xml:space="preserve"> My registration fee includes </w:t>
      </w:r>
      <w:r>
        <w:rPr>
          <w:color w:val="auto"/>
        </w:rPr>
        <w:t xml:space="preserve">access to more than 400 sessions and </w:t>
      </w:r>
      <w:r w:rsidRPr="000E3AA2">
        <w:rPr>
          <w:color w:val="auto"/>
        </w:rPr>
        <w:t>hot lunches on main conference days. I can also save by</w:t>
      </w:r>
      <w:r>
        <w:rPr>
          <w:color w:val="auto"/>
        </w:rPr>
        <w:t xml:space="preserve"> taking advantage of SREB’s early bird registration,</w:t>
      </w:r>
      <w:r w:rsidRPr="000E3AA2">
        <w:rPr>
          <w:color w:val="auto"/>
        </w:rPr>
        <w:t xml:space="preserve"> booking travel early and sharing a </w:t>
      </w:r>
      <w:r>
        <w:rPr>
          <w:color w:val="auto"/>
        </w:rPr>
        <w:t xml:space="preserve">hotel </w:t>
      </w:r>
      <w:r w:rsidRPr="000E3AA2">
        <w:rPr>
          <w:color w:val="auto"/>
        </w:rPr>
        <w:t xml:space="preserve">room with </w:t>
      </w:r>
      <w:r w:rsidRPr="005645BF">
        <w:rPr>
          <w:color w:val="005694"/>
        </w:rPr>
        <w:t xml:space="preserve">[name of colleague — see </w:t>
      </w:r>
      <w:hyperlink r:id="rId11" w:history="1">
        <w:r w:rsidRPr="005645BF">
          <w:rPr>
            <w:rStyle w:val="Hyperlink"/>
            <w:color w:val="005694"/>
          </w:rPr>
          <w:t>SREB’s website for hotel rates</w:t>
        </w:r>
      </w:hyperlink>
      <w:r w:rsidRPr="005645BF">
        <w:rPr>
          <w:color w:val="005694"/>
        </w:rPr>
        <w:t>]</w:t>
      </w:r>
      <w:r>
        <w:t xml:space="preserve">. Here is a breakdown of the approximate cost for me to attend the Making </w:t>
      </w:r>
      <w:r>
        <w:lastRenderedPageBreak/>
        <w:t>Schools Work Conference:</w:t>
      </w:r>
      <w:r>
        <w:br/>
      </w:r>
    </w:p>
    <w:p w14:paraId="416DD9FB" w14:textId="5F54BE48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Airfare:</w:t>
      </w:r>
    </w:p>
    <w:p w14:paraId="2411C78C" w14:textId="371AC3B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Transportation:</w:t>
      </w:r>
    </w:p>
    <w:p w14:paraId="70252900" w14:textId="51078D0A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Hotel:</w:t>
      </w:r>
    </w:p>
    <w:p w14:paraId="73EB70A3" w14:textId="664E9C9E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 xml:space="preserve">Conference registration: </w:t>
      </w:r>
    </w:p>
    <w:p w14:paraId="29AD3EC2" w14:textId="63E6577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Industry tours and special events:</w:t>
      </w:r>
    </w:p>
    <w:p w14:paraId="649E8743" w14:textId="66F5EA81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t>Meals:</w:t>
      </w:r>
    </w:p>
    <w:p w14:paraId="3C18064C" w14:textId="26DFFEA6" w:rsidR="00173971" w:rsidRDefault="00173971" w:rsidP="00173971">
      <w:pPr>
        <w:pStyle w:val="ListParagraph"/>
        <w:numPr>
          <w:ilvl w:val="0"/>
          <w:numId w:val="31"/>
        </w:numPr>
        <w:spacing w:line="266" w:lineRule="auto"/>
        <w:ind w:right="28"/>
      </w:pPr>
      <w:r>
        <w:rPr>
          <w:b/>
          <w:bCs/>
        </w:rPr>
        <w:t xml:space="preserve">Total: </w:t>
      </w:r>
    </w:p>
    <w:p w14:paraId="24A5C2E4" w14:textId="77777777" w:rsidR="00E1018B" w:rsidRDefault="00E1018B" w:rsidP="00E1018B">
      <w:pPr>
        <w:spacing w:after="91" w:line="266" w:lineRule="auto"/>
        <w:ind w:left="-5" w:right="28"/>
      </w:pPr>
    </w:p>
    <w:p w14:paraId="06327827" w14:textId="77777777" w:rsidR="00E1018B" w:rsidRDefault="00E1018B" w:rsidP="00E1018B">
      <w:pPr>
        <w:spacing w:after="91" w:line="266" w:lineRule="auto"/>
        <w:ind w:left="-5" w:right="28"/>
      </w:pPr>
      <w:r>
        <w:t>Please let me know if you have any questions about this request. I look forward to your reply.</w:t>
      </w:r>
    </w:p>
    <w:p w14:paraId="5938230B" w14:textId="77777777" w:rsidR="00E1018B" w:rsidRDefault="00E1018B" w:rsidP="00E1018B">
      <w:pPr>
        <w:spacing w:line="266" w:lineRule="auto"/>
        <w:ind w:right="28" w:hanging="14"/>
      </w:pPr>
      <w:r>
        <w:br/>
        <w:t>Sincerely,</w:t>
      </w:r>
      <w:r>
        <w:br/>
      </w:r>
    </w:p>
    <w:p w14:paraId="59A543A6" w14:textId="77777777" w:rsidR="00E1018B" w:rsidRDefault="00E1018B" w:rsidP="00E1018B">
      <w:pPr>
        <w:spacing w:line="266" w:lineRule="auto"/>
        <w:ind w:hanging="14"/>
      </w:pPr>
      <w:r>
        <w:t>[</w:t>
      </w:r>
      <w:r w:rsidRPr="005645BF">
        <w:rPr>
          <w:color w:val="005694"/>
        </w:rPr>
        <w:t>Your name</w:t>
      </w:r>
      <w:r>
        <w:t>]</w:t>
      </w:r>
      <w:r>
        <w:br w:type="page"/>
      </w:r>
    </w:p>
    <w:p w14:paraId="34210B4D" w14:textId="77777777" w:rsidR="00E1018B" w:rsidRDefault="00E1018B" w:rsidP="00E1018B">
      <w:pPr>
        <w:pStyle w:val="Heading1"/>
        <w:spacing w:after="160"/>
      </w:pPr>
      <w:r>
        <w:lastRenderedPageBreak/>
        <w:t>Conference Objectives</w:t>
      </w:r>
    </w:p>
    <w:p w14:paraId="72BB5433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Engaging Instruction –</w:t>
      </w:r>
      <w:r>
        <w:t xml:space="preserve"> Engage each student in every classroom through high-quality instruction that incorporates powerful literacy and mathematics practices and project-based assignments.</w:t>
      </w:r>
    </w:p>
    <w:p w14:paraId="179A1075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Aligned Curriculum –</w:t>
      </w:r>
      <w:r>
        <w:t xml:space="preserve"> Ensure each student has equitable access to challenging academic and technical curricula that align instruction, assignments and assessments with grade-level readiness standards.</w:t>
      </w:r>
    </w:p>
    <w:p w14:paraId="0C760996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Career Pathways –</w:t>
      </w:r>
      <w:r>
        <w:t xml:space="preserve"> Offer each student access to career pathways and programs of study that align with workforce needs and include opportunities to earn industry or postsecondary credentials and participate in work-based learning.</w:t>
      </w:r>
    </w:p>
    <w:p w14:paraId="275A71FF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183" w:line="266" w:lineRule="auto"/>
        <w:ind w:hanging="360"/>
        <w:textAlignment w:val="auto"/>
      </w:pPr>
      <w:r>
        <w:rPr>
          <w:b/>
        </w:rPr>
        <w:t>Systems of Support –</w:t>
      </w:r>
      <w:r>
        <w:t xml:space="preserve"> Provide each student with the personalized career guidance, advisement, social and emotional supports, and extra help and accelerated learning opportunities needed to graduate ready for college and careers.</w:t>
      </w:r>
    </w:p>
    <w:p w14:paraId="53D40772" w14:textId="77777777" w:rsidR="00E1018B" w:rsidRDefault="00E1018B" w:rsidP="00E1018B">
      <w:pPr>
        <w:widowControl/>
        <w:numPr>
          <w:ilvl w:val="0"/>
          <w:numId w:val="30"/>
        </w:numPr>
        <w:suppressAutoHyphens w:val="0"/>
        <w:autoSpaceDE/>
        <w:autoSpaceDN/>
        <w:adjustRightInd/>
        <w:spacing w:after="220" w:line="266" w:lineRule="auto"/>
        <w:ind w:hanging="360"/>
        <w:textAlignment w:val="auto"/>
      </w:pPr>
      <w:r>
        <w:rPr>
          <w:b/>
        </w:rPr>
        <w:t>Leadership for Continuous Improvement –</w:t>
      </w:r>
      <w:r>
        <w:t xml:space="preserve"> Engage the whole school community in promoting a culture of high expectations and continuously using data to identify problems of practice and develop action plans to solve those problems.</w:t>
      </w:r>
    </w:p>
    <w:p w14:paraId="08C0C863" w14:textId="6EC30392" w:rsidR="00E1018B" w:rsidRDefault="00E1018B" w:rsidP="00984628">
      <w:pPr>
        <w:pStyle w:val="Heading1"/>
        <w:ind w:hanging="14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D5CD173" wp14:editId="4CDC0D68">
                <wp:simplePos x="0" y="0"/>
                <wp:positionH relativeFrom="page">
                  <wp:posOffset>0</wp:posOffset>
                </wp:positionH>
                <wp:positionV relativeFrom="page">
                  <wp:posOffset>63500</wp:posOffset>
                </wp:positionV>
                <wp:extent cx="7772400" cy="127000"/>
                <wp:effectExtent l="0" t="0" r="0" b="0"/>
                <wp:wrapTopAndBottom/>
                <wp:docPr id="2000" name="Group 20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27000"/>
                          <a:chOff x="0" y="0"/>
                          <a:chExt cx="7772400" cy="12700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0" cap="flat">
                            <a:miter lim="100000"/>
                          </a:ln>
                        </wps:spPr>
                        <wps:style>
                          <a:lnRef idx="1">
                            <a:srgbClr val="40587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51487" id="Group 2000" o:spid="_x0000_s1026" alt="&quot;&quot;" style="position:absolute;margin-left:0;margin-top:5pt;width:612pt;height:10pt;z-index:251638784;mso-position-horizontal-relative:page;mso-position-vertical-relative:page" coordsize="77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">
                <v:shape id="Shape 82" o:spid="_x0000_s1027" style="position:absolute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" path="m,l7772400,e" filled="f" strokecolor="#3d567d" strokeweight="10pt">
                  <v:stroke miterlimit="1" joinstyle="miter"/>
                  <v:path arrowok="t" textboxrect="0,0,7772400,0"/>
                </v:shape>
                <w10:wrap type="topAndBottom" anchorx="page" anchory="page"/>
              </v:group>
            </w:pict>
          </mc:Fallback>
        </mc:AlternateContent>
      </w:r>
      <w:r>
        <w:t>Selected Conference Topics</w:t>
      </w:r>
      <w:r>
        <w:tab/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2997"/>
        <w:gridCol w:w="2997"/>
      </w:tblGrid>
      <w:tr w:rsidR="00D20DFA" w14:paraId="68EDEE03" w14:textId="77777777" w:rsidTr="00B86114">
        <w:tc>
          <w:tcPr>
            <w:tcW w:w="2996" w:type="dxa"/>
          </w:tcPr>
          <w:p w14:paraId="30BDF8B5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Achievement</w:t>
            </w:r>
          </w:p>
          <w:p w14:paraId="02FAF89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Business partnerships </w:t>
            </w:r>
          </w:p>
          <w:p w14:paraId="711EB115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Career academies </w:t>
            </w:r>
          </w:p>
          <w:p w14:paraId="417C6DBD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CTE and career pathways</w:t>
            </w:r>
          </w:p>
          <w:p w14:paraId="5D8AC6D9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Classroom management</w:t>
            </w:r>
          </w:p>
          <w:p w14:paraId="2FFB4ED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Coaching</w:t>
            </w:r>
          </w:p>
          <w:p w14:paraId="570C906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College and career readiness</w:t>
            </w:r>
          </w:p>
          <w:p w14:paraId="180CBAC1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Community partnerships</w:t>
            </w:r>
          </w:p>
          <w:p w14:paraId="3B6530D7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Comprehensive school reform</w:t>
            </w:r>
          </w:p>
          <w:p w14:paraId="340F80D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Continuous improvement</w:t>
            </w:r>
          </w:p>
          <w:p w14:paraId="51CDD486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Counseling and advisement</w:t>
            </w:r>
          </w:p>
          <w:p w14:paraId="605F0985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COVID-19 response and recovery</w:t>
            </w:r>
          </w:p>
          <w:p w14:paraId="38FD2249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Culturally responsive pedagogy</w:t>
            </w:r>
          </w:p>
          <w:p w14:paraId="621924BB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Data-driven decision making</w:t>
            </w:r>
          </w:p>
          <w:p w14:paraId="79A30E72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Deeper learning</w:t>
            </w:r>
          </w:p>
          <w:p w14:paraId="7F6E168F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Discipline and behavioral issues</w:t>
            </w:r>
          </w:p>
          <w:p w14:paraId="3D646290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Dual enrollment / dual credit</w:t>
            </w:r>
          </w:p>
          <w:p w14:paraId="4F25F678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Early college high schools</w:t>
            </w:r>
          </w:p>
          <w:p w14:paraId="7E6D305B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Education policy</w:t>
            </w:r>
          </w:p>
          <w:p w14:paraId="3DE5204D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Educational technology</w:t>
            </w:r>
          </w:p>
          <w:p w14:paraId="1A14EC96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Educator effectiveness</w:t>
            </w:r>
          </w:p>
          <w:p w14:paraId="2FC4FC54" w14:textId="77777777" w:rsidR="004A0E23" w:rsidRPr="00B86114" w:rsidRDefault="004A0E23" w:rsidP="004A0E23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Elementary schools</w:t>
            </w:r>
          </w:p>
          <w:p w14:paraId="22BD3738" w14:textId="3310E115" w:rsidR="00D20DFA" w:rsidRPr="00B86114" w:rsidRDefault="004A0E23" w:rsidP="004A0E23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Engagement and motivation</w:t>
            </w:r>
          </w:p>
        </w:tc>
        <w:tc>
          <w:tcPr>
            <w:tcW w:w="2997" w:type="dxa"/>
          </w:tcPr>
          <w:p w14:paraId="02CBE57C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English / language arts</w:t>
            </w:r>
          </w:p>
          <w:p w14:paraId="632F6C2F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English learners</w:t>
            </w:r>
          </w:p>
          <w:p w14:paraId="2D563260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Equity – cultural, gender, racial</w:t>
            </w:r>
          </w:p>
          <w:p w14:paraId="5ED75B8C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Evaluation and research</w:t>
            </w:r>
          </w:p>
          <w:p w14:paraId="06DFFF6D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Feedback and observations</w:t>
            </w:r>
          </w:p>
          <w:p w14:paraId="5A56ABD9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Formative assessments</w:t>
            </w:r>
          </w:p>
          <w:p w14:paraId="4A0B86F6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High schools</w:t>
            </w:r>
          </w:p>
          <w:p w14:paraId="3745711F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Improving instruction</w:t>
            </w:r>
          </w:p>
          <w:p w14:paraId="7E117F5C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Instructional leadership</w:t>
            </w:r>
          </w:p>
          <w:p w14:paraId="004FE91B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Leadership development</w:t>
            </w:r>
          </w:p>
          <w:p w14:paraId="14AE6DE1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Literacy</w:t>
            </w:r>
          </w:p>
          <w:p w14:paraId="02BA05A5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Mathematics</w:t>
            </w:r>
          </w:p>
          <w:p w14:paraId="35772F90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Middle grades schools</w:t>
            </w:r>
          </w:p>
          <w:p w14:paraId="3868822F" w14:textId="77777777" w:rsidR="000B4215" w:rsidRPr="00B86114" w:rsidRDefault="000B4215" w:rsidP="000B4215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Networked improvement communities</w:t>
            </w:r>
          </w:p>
          <w:p w14:paraId="1C572416" w14:textId="77777777" w:rsidR="000B4215" w:rsidRPr="00B86114" w:rsidRDefault="000B4215" w:rsidP="000B4215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Online, blended and hybrid instructional strategies</w:t>
            </w:r>
          </w:p>
          <w:p w14:paraId="56101FC1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Parent engagement</w:t>
            </w:r>
          </w:p>
          <w:p w14:paraId="439F1F0E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Personalized learning</w:t>
            </w:r>
          </w:p>
          <w:p w14:paraId="4A774429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Postsecondary access and success</w:t>
            </w:r>
          </w:p>
          <w:p w14:paraId="5C7EBE32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Poverty </w:t>
            </w:r>
          </w:p>
          <w:p w14:paraId="05537430" w14:textId="77777777" w:rsidR="000B4215" w:rsidRPr="00B86114" w:rsidRDefault="000B4215" w:rsidP="000B4215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Principal preparation and support</w:t>
            </w:r>
          </w:p>
          <w:p w14:paraId="4FFC1D9C" w14:textId="6D9CF7C1" w:rsidR="00D20DFA" w:rsidRPr="00B86114" w:rsidRDefault="000B4215" w:rsidP="000B4215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Professional learning communities</w:t>
            </w:r>
          </w:p>
        </w:tc>
        <w:tc>
          <w:tcPr>
            <w:tcW w:w="2997" w:type="dxa"/>
          </w:tcPr>
          <w:p w14:paraId="262ADA2D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Programs of study</w:t>
            </w:r>
          </w:p>
          <w:p w14:paraId="5500B4C2" w14:textId="77777777" w:rsidR="00AD30A4" w:rsidRPr="00B86114" w:rsidRDefault="00AD30A4" w:rsidP="00AD30A4">
            <w:pPr>
              <w:spacing w:after="25" w:line="318" w:lineRule="auto"/>
              <w:ind w:left="180" w:right="-306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Project- and problem-based learning</w:t>
            </w:r>
          </w:p>
          <w:p w14:paraId="17234A19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Rural educational issues</w:t>
            </w:r>
          </w:p>
          <w:p w14:paraId="3FDE6FD5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School improvement</w:t>
            </w:r>
          </w:p>
          <w:p w14:paraId="5375148C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School culture and climate</w:t>
            </w:r>
          </w:p>
          <w:p w14:paraId="4DA2145A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Science</w:t>
            </w:r>
          </w:p>
          <w:p w14:paraId="5DF3A433" w14:textId="77777777" w:rsidR="00AD30A4" w:rsidRPr="00B86114" w:rsidRDefault="00AD30A4" w:rsidP="00AD30A4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Social, emotional and behavioral supports</w:t>
            </w:r>
          </w:p>
          <w:p w14:paraId="66EF1AC2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Social studies</w:t>
            </w:r>
          </w:p>
          <w:p w14:paraId="7DE26355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Special education </w:t>
            </w:r>
          </w:p>
          <w:p w14:paraId="7109B26E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STEM</w:t>
            </w:r>
          </w:p>
          <w:p w14:paraId="1C0F1E39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Student voice and choice</w:t>
            </w:r>
          </w:p>
          <w:p w14:paraId="0B0738B7" w14:textId="77777777" w:rsidR="00AD30A4" w:rsidRPr="00B86114" w:rsidRDefault="00AD30A4" w:rsidP="00AD30A4">
            <w:pPr>
              <w:spacing w:after="25" w:line="318" w:lineRule="auto"/>
              <w:ind w:left="180" w:hanging="180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Teacher induction and peer mentoring</w:t>
            </w:r>
          </w:p>
          <w:p w14:paraId="2F178D50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Teacher preparation</w:t>
            </w:r>
          </w:p>
          <w:p w14:paraId="3594FED2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Technology centers</w:t>
            </w:r>
          </w:p>
          <w:p w14:paraId="30008014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lastRenderedPageBreak/>
              <w:t>Title I</w:t>
            </w:r>
          </w:p>
          <w:p w14:paraId="1E3E452D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Trauma</w:t>
            </w:r>
          </w:p>
          <w:p w14:paraId="55F094E1" w14:textId="77777777" w:rsidR="00AD30A4" w:rsidRPr="00B86114" w:rsidRDefault="00AD30A4" w:rsidP="00AD30A4">
            <w:pPr>
              <w:spacing w:after="79" w:line="259" w:lineRule="auto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Urban educational issues </w:t>
            </w:r>
          </w:p>
          <w:p w14:paraId="098C6B29" w14:textId="77777777" w:rsidR="00AD30A4" w:rsidRPr="00B86114" w:rsidRDefault="00AD30A4" w:rsidP="00AD30A4">
            <w:pPr>
              <w:spacing w:after="25" w:line="319" w:lineRule="auto"/>
              <w:ind w:left="187" w:right="216" w:hanging="187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 xml:space="preserve">Work-based learning </w:t>
            </w:r>
          </w:p>
          <w:p w14:paraId="1608C157" w14:textId="6AF7BB30" w:rsidR="00D20DFA" w:rsidRPr="00B86114" w:rsidRDefault="00AD30A4" w:rsidP="00AD30A4">
            <w:pPr>
              <w:pStyle w:val="SREBtext"/>
              <w:rPr>
                <w:sz w:val="24"/>
                <w:szCs w:val="24"/>
              </w:rPr>
            </w:pPr>
            <w:r w:rsidRPr="00B86114">
              <w:rPr>
                <w:sz w:val="24"/>
                <w:szCs w:val="24"/>
              </w:rPr>
              <w:t>… and many more</w:t>
            </w:r>
          </w:p>
        </w:tc>
      </w:tr>
    </w:tbl>
    <w:p w14:paraId="0B8F32CD" w14:textId="537EB750" w:rsidR="0013275E" w:rsidRPr="00B80CC4" w:rsidRDefault="0013275E" w:rsidP="00E1018B">
      <w:pPr>
        <w:pStyle w:val="SREBtext"/>
      </w:pPr>
    </w:p>
    <w:sectPr w:rsidR="0013275E" w:rsidRPr="00B80CC4" w:rsidSect="00DA1B6B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2240" w:h="15840"/>
      <w:pgMar w:top="907" w:right="1440" w:bottom="216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8F18" w14:textId="77777777" w:rsidR="00C0136E" w:rsidRDefault="00C0136E" w:rsidP="00523A32">
      <w:r>
        <w:separator/>
      </w:r>
    </w:p>
  </w:endnote>
  <w:endnote w:type="continuationSeparator" w:id="0">
    <w:p w14:paraId="6D657861" w14:textId="77777777" w:rsidR="00C0136E" w:rsidRDefault="00C0136E" w:rsidP="0052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"/>
    <w:charset w:val="69"/>
    <w:family w:val="auto"/>
    <w:pitch w:val="variable"/>
    <w:sig w:usb0="00000003" w:usb1="00000000" w:usb2="00000000" w:usb3="00000000" w:csb0="00004001" w:csb1="00000000"/>
  </w:font>
  <w:font w:name="Arial-ItalicM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940B5" w14:textId="77777777" w:rsidR="00115730" w:rsidRDefault="00115730" w:rsidP="00523A32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43B51" w14:textId="77777777" w:rsidR="00115730" w:rsidRDefault="00115730" w:rsidP="00523A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321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3F3EC" w14:textId="0840A620" w:rsidR="00496EBB" w:rsidRDefault="00DA1B6B">
        <w:pPr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28E6B65" wp14:editId="6E5A1C6B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-420815</wp:posOffset>
                  </wp:positionV>
                  <wp:extent cx="5669280" cy="23495"/>
                  <wp:effectExtent l="38100" t="38100" r="64770" b="90805"/>
                  <wp:wrapNone/>
                  <wp:docPr id="10" name="Straight Connector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69280" cy="2349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DBE2ED6" id="Straight Connector 10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-33.15pt" to="449.9pt,-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" strokecolor="#003087 [3200]">
                  <v:shadow on="t" color="black" opacity="24903f" origin=",.5" offset="0,.55556mm"/>
                </v:line>
              </w:pict>
            </mc:Fallback>
          </mc:AlternateContent>
        </w:r>
        <w:r w:rsidRPr="00DA1B6B">
          <w:rPr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3B805D9" wp14:editId="12012292">
              <wp:simplePos x="0" y="0"/>
              <wp:positionH relativeFrom="margin">
                <wp:posOffset>33655</wp:posOffset>
              </wp:positionH>
              <wp:positionV relativeFrom="bottomMargin">
                <wp:posOffset>307785</wp:posOffset>
              </wp:positionV>
              <wp:extent cx="2468880" cy="411480"/>
              <wp:effectExtent l="0" t="0" r="7620" b="7620"/>
              <wp:wrapNone/>
              <wp:docPr id="7" name="Pictur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8880" cy="41148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86114">
          <w:rPr>
            <w:rStyle w:val="PageNumber"/>
            <w:sz w:val="24"/>
            <w:szCs w:val="24"/>
          </w:rPr>
          <w:t xml:space="preserve">Justification </w:t>
        </w:r>
        <w:proofErr w:type="gramStart"/>
        <w:r w:rsidR="00B86114">
          <w:rPr>
            <w:rStyle w:val="PageNumber"/>
            <w:sz w:val="24"/>
            <w:szCs w:val="24"/>
          </w:rPr>
          <w:t>Letter</w:t>
        </w:r>
        <w:r w:rsidRPr="00D21D96">
          <w:rPr>
            <w:rStyle w:val="PageNumber"/>
            <w:sz w:val="24"/>
            <w:szCs w:val="24"/>
          </w:rPr>
          <w:t xml:space="preserve">  |</w:t>
        </w:r>
        <w:proofErr w:type="gramEnd"/>
        <w:r w:rsidRPr="00D21D96">
          <w:rPr>
            <w:rStyle w:val="PageNumber"/>
            <w:sz w:val="24"/>
            <w:szCs w:val="24"/>
          </w:rPr>
          <w:t xml:space="preserve">  </w:t>
        </w:r>
        <w:r w:rsidRPr="00DA1B6B">
          <w:rPr>
            <w:sz w:val="24"/>
            <w:szCs w:val="24"/>
          </w:rPr>
          <w:t xml:space="preserve">Page </w:t>
        </w:r>
        <w:r w:rsidR="00496EBB" w:rsidRPr="00DA1B6B">
          <w:rPr>
            <w:sz w:val="24"/>
            <w:szCs w:val="24"/>
          </w:rPr>
          <w:fldChar w:fldCharType="begin"/>
        </w:r>
        <w:r w:rsidR="00496EBB" w:rsidRPr="00DA1B6B">
          <w:rPr>
            <w:sz w:val="24"/>
            <w:szCs w:val="24"/>
          </w:rPr>
          <w:instrText xml:space="preserve"> PAGE   \* MERGEFORMAT </w:instrText>
        </w:r>
        <w:r w:rsidR="00496EBB" w:rsidRPr="00DA1B6B">
          <w:rPr>
            <w:sz w:val="24"/>
            <w:szCs w:val="24"/>
          </w:rPr>
          <w:fldChar w:fldCharType="separate"/>
        </w:r>
        <w:r w:rsidR="00496EBB" w:rsidRPr="00DA1B6B">
          <w:rPr>
            <w:noProof/>
            <w:sz w:val="24"/>
            <w:szCs w:val="24"/>
          </w:rPr>
          <w:t>2</w:t>
        </w:r>
        <w:r w:rsidR="00496EBB" w:rsidRPr="00DA1B6B">
          <w:rPr>
            <w:noProof/>
            <w:sz w:val="24"/>
            <w:szCs w:val="24"/>
          </w:rPr>
          <w:fldChar w:fldCharType="end"/>
        </w:r>
      </w:p>
    </w:sdtContent>
  </w:sdt>
  <w:p w14:paraId="7024503B" w14:textId="3D42A812" w:rsidR="00115730" w:rsidRDefault="00115730" w:rsidP="00523A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42BE4" w14:textId="28D47E3F" w:rsidR="00115730" w:rsidRDefault="00115730" w:rsidP="00031628">
    <w:pPr>
      <w:pStyle w:val="SREBcallou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1581D658" wp14:editId="05893AC3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8600" cy="9144000"/>
              <wp:effectExtent l="0" t="0" r="0" b="0"/>
              <wp:wrapTight wrapText="bothSides">
                <wp:wrapPolygon edited="0">
                  <wp:start x="0" y="0"/>
                  <wp:lineTo x="0" y="21555"/>
                  <wp:lineTo x="19800" y="21555"/>
                  <wp:lineTo x="19800" y="0"/>
                  <wp:lineTo x="0" y="0"/>
                </wp:wrapPolygon>
              </wp:wrapTight>
              <wp:docPr id="3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9144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F94E4" id="Rectangle 5" o:spid="_x0000_s1026" alt="&quot;&quot;" style="position:absolute;margin-left:36pt;margin-top:36pt;width:18pt;height:10in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" fillcolor="#003087 [3215]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</w:p>
  <w:p w14:paraId="1FD482C7" w14:textId="7E500278" w:rsidR="00115730" w:rsidRDefault="00115730" w:rsidP="00523A32">
    <w:r w:rsidRPr="00B631B8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59F640" wp14:editId="6F3314CC">
              <wp:simplePos x="0" y="0"/>
              <wp:positionH relativeFrom="column">
                <wp:posOffset>4114800</wp:posOffset>
              </wp:positionH>
              <wp:positionV relativeFrom="paragraph">
                <wp:posOffset>307150</wp:posOffset>
              </wp:positionV>
              <wp:extent cx="1828800" cy="250190"/>
              <wp:effectExtent l="0" t="0" r="0" b="16510"/>
              <wp:wrapSquare wrapText="bothSides"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5FA68" w14:textId="0E9F2F43" w:rsidR="00115730" w:rsidRPr="00D21D96" w:rsidRDefault="00115730" w:rsidP="00523A32">
                          <w:pPr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proofErr w:type="gramStart"/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>SREB.org  |</w:t>
                          </w:r>
                          <w:proofErr w:type="gramEnd"/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 </w:t>
                          </w:r>
                          <w:r w:rsidR="0099305E">
                            <w:rPr>
                              <w:rStyle w:val="PageNumber"/>
                              <w:sz w:val="24"/>
                              <w:szCs w:val="24"/>
                            </w:rPr>
                            <w:t>Sep.</w:t>
                          </w:r>
                          <w:r w:rsidR="00D21D96"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202</w:t>
                          </w:r>
                          <w:r w:rsidR="00B86114">
                            <w:rPr>
                              <w:rStyle w:val="PageNumber"/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110426F3" w14:textId="77777777" w:rsidR="00115730" w:rsidRDefault="00115730" w:rsidP="00523A3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9F6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324pt;margin-top:24.2pt;width:2in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" filled="f" stroked="f">
              <v:textbox inset="0,0,0,0">
                <w:txbxContent>
                  <w:p w14:paraId="0925FA68" w14:textId="0E9F2F43" w:rsidR="00115730" w:rsidRPr="00D21D96" w:rsidRDefault="00115730" w:rsidP="00523A32">
                    <w:pPr>
                      <w:rPr>
                        <w:rStyle w:val="PageNumber"/>
                        <w:sz w:val="24"/>
                        <w:szCs w:val="24"/>
                      </w:rPr>
                    </w:pPr>
                    <w:proofErr w:type="gramStart"/>
                    <w:r w:rsidRPr="00D21D96">
                      <w:rPr>
                        <w:rStyle w:val="PageNumber"/>
                        <w:sz w:val="24"/>
                        <w:szCs w:val="24"/>
                      </w:rPr>
                      <w:t>SREB.org  |</w:t>
                    </w:r>
                    <w:proofErr w:type="gramEnd"/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  </w:t>
                    </w:r>
                    <w:r w:rsidR="0099305E">
                      <w:rPr>
                        <w:rStyle w:val="PageNumber"/>
                        <w:sz w:val="24"/>
                        <w:szCs w:val="24"/>
                      </w:rPr>
                      <w:t>Sep.</w:t>
                    </w:r>
                    <w:r w:rsidR="00D21D96" w:rsidRPr="00D21D96">
                      <w:rPr>
                        <w:rStyle w:val="PageNumber"/>
                        <w:sz w:val="24"/>
                        <w:szCs w:val="24"/>
                      </w:rPr>
                      <w:t xml:space="preserve"> 202</w:t>
                    </w:r>
                    <w:r w:rsidR="00B86114">
                      <w:rPr>
                        <w:rStyle w:val="PageNumber"/>
                        <w:sz w:val="24"/>
                        <w:szCs w:val="24"/>
                      </w:rPr>
                      <w:t>4</w:t>
                    </w:r>
                  </w:p>
                  <w:p w14:paraId="110426F3" w14:textId="77777777" w:rsidR="00115730" w:rsidRDefault="00115730" w:rsidP="00523A32"/>
                </w:txbxContent>
              </v:textbox>
              <w10:wrap type="square"/>
            </v:shape>
          </w:pict>
        </mc:Fallback>
      </mc:AlternateContent>
    </w:r>
    <w:r w:rsidR="00E80FAD">
      <w:rPr>
        <w:noProof/>
      </w:rPr>
      <w:drawing>
        <wp:inline distT="0" distB="0" distL="0" distR="0" wp14:anchorId="5E7BB977" wp14:editId="2C38C4C2">
          <wp:extent cx="3028208" cy="504365"/>
          <wp:effectExtent l="0" t="0" r="1270" b="0"/>
          <wp:docPr id="2" name="Picture 2" descr="Text&#10;Southern Regional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Southern Regional Education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8095" cy="51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597A8" w14:textId="77777777" w:rsidR="00C0136E" w:rsidRDefault="00C0136E" w:rsidP="00523A32">
      <w:r>
        <w:separator/>
      </w:r>
    </w:p>
  </w:footnote>
  <w:footnote w:type="continuationSeparator" w:id="0">
    <w:p w14:paraId="59D12B58" w14:textId="77777777" w:rsidR="00C0136E" w:rsidRDefault="00C0136E" w:rsidP="00523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DFBF" w14:textId="315DF6A2" w:rsidR="00D21D96" w:rsidRDefault="00496EBB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7090DB" wp14:editId="01B18AD6">
              <wp:simplePos x="0" y="0"/>
              <wp:positionH relativeFrom="margin">
                <wp:posOffset>9154886</wp:posOffset>
              </wp:positionH>
              <wp:positionV relativeFrom="paragraph">
                <wp:posOffset>1620768</wp:posOffset>
              </wp:positionV>
              <wp:extent cx="2436495" cy="309245"/>
              <wp:effectExtent l="0" t="0" r="1905" b="14605"/>
              <wp:wrapSquare wrapText="bothSides"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649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DDE23" w14:textId="38574CFE" w:rsidR="00D21D96" w:rsidRPr="00D21D96" w:rsidRDefault="00D21D96" w:rsidP="00D21D96">
                          <w:pPr>
                            <w:rPr>
                              <w:rStyle w:val="PageNumb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Higher Education Finance</w:t>
                          </w:r>
                          <w:r w:rsidRPr="00D21D96"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  |  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 xml:space="preserve">page </w:t>
                          </w:r>
                          <w:r w:rsidR="00496EBB">
                            <w:rPr>
                              <w:rStyle w:val="PageNumber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051FA59B" w14:textId="77777777" w:rsidR="00D21D96" w:rsidRDefault="00D21D96" w:rsidP="00D21D9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090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720.85pt;margin-top:127.6pt;width:191.8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" filled="f" stroked="f">
              <v:textbox inset="0,0,0,0">
                <w:txbxContent>
                  <w:p w14:paraId="2D5DDE23" w14:textId="38574CFE" w:rsidR="00D21D96" w:rsidRPr="00D21D96" w:rsidRDefault="00D21D96" w:rsidP="00D21D96">
                    <w:pPr>
                      <w:rPr>
                        <w:rStyle w:val="PageNumber"/>
                        <w:sz w:val="24"/>
                        <w:szCs w:val="24"/>
                      </w:rPr>
                    </w:pPr>
                    <w:r>
                      <w:rPr>
                        <w:rStyle w:val="PageNumber"/>
                        <w:sz w:val="24"/>
                        <w:szCs w:val="24"/>
                      </w:rPr>
                      <w:t>Higher Education Finance</w:t>
                    </w:r>
                    <w:r w:rsidRPr="00D21D96">
                      <w:rPr>
                        <w:rStyle w:val="PageNumber"/>
                        <w:sz w:val="24"/>
                        <w:szCs w:val="24"/>
                      </w:rPr>
                      <w:t xml:space="preserve">  |  </w:t>
                    </w:r>
                    <w:r>
                      <w:rPr>
                        <w:rStyle w:val="PageNumber"/>
                        <w:sz w:val="24"/>
                        <w:szCs w:val="24"/>
                      </w:rPr>
                      <w:t xml:space="preserve">page </w:t>
                    </w:r>
                    <w:r w:rsidR="00496EBB">
                      <w:rPr>
                        <w:rStyle w:val="PageNumber"/>
                        <w:sz w:val="24"/>
                        <w:szCs w:val="24"/>
                      </w:rPr>
                      <w:t>2</w:t>
                    </w:r>
                  </w:p>
                  <w:p w14:paraId="051FA59B" w14:textId="77777777" w:rsidR="00D21D96" w:rsidRDefault="00D21D96" w:rsidP="00D21D96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2456"/>
    <w:multiLevelType w:val="hybridMultilevel"/>
    <w:tmpl w:val="86D04D8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5912"/>
    <w:multiLevelType w:val="hybridMultilevel"/>
    <w:tmpl w:val="2B20F9CC"/>
    <w:lvl w:ilvl="0" w:tplc="3D846A8E">
      <w:numFmt w:val="bullet"/>
      <w:lvlText w:val="–"/>
      <w:lvlJc w:val="left"/>
      <w:pPr>
        <w:ind w:left="720" w:hanging="360"/>
      </w:pPr>
      <w:rPr>
        <w:rFonts w:ascii="Georgia" w:eastAsiaTheme="minorHAnsi" w:hAnsi="Georgia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D7DD1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30563"/>
    <w:multiLevelType w:val="hybridMultilevel"/>
    <w:tmpl w:val="A0E6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C0CD5"/>
    <w:multiLevelType w:val="hybridMultilevel"/>
    <w:tmpl w:val="FB664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E12CF"/>
    <w:multiLevelType w:val="hybridMultilevel"/>
    <w:tmpl w:val="8460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1D9D"/>
    <w:multiLevelType w:val="hybridMultilevel"/>
    <w:tmpl w:val="7E6C8D22"/>
    <w:lvl w:ilvl="0" w:tplc="F7284CE4">
      <w:start w:val="1"/>
      <w:numFmt w:val="bullet"/>
      <w:pStyle w:val="SREB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60184"/>
    <w:multiLevelType w:val="hybridMultilevel"/>
    <w:tmpl w:val="83A016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10715"/>
    <w:multiLevelType w:val="hybridMultilevel"/>
    <w:tmpl w:val="B1F492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4AA"/>
    <w:multiLevelType w:val="hybridMultilevel"/>
    <w:tmpl w:val="D4985F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CF62C0"/>
    <w:multiLevelType w:val="hybridMultilevel"/>
    <w:tmpl w:val="B36E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34255"/>
    <w:multiLevelType w:val="hybridMultilevel"/>
    <w:tmpl w:val="0F48A2D6"/>
    <w:lvl w:ilvl="0" w:tplc="3D846A8E">
      <w:numFmt w:val="bullet"/>
      <w:lvlText w:val="–"/>
      <w:lvlJc w:val="left"/>
      <w:pPr>
        <w:ind w:left="720" w:hanging="360"/>
      </w:pPr>
      <w:rPr>
        <w:rFonts w:ascii="Georgia" w:eastAsiaTheme="minorHAnsi" w:hAnsi="Georgia" w:cs="GillSan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53E3E"/>
    <w:multiLevelType w:val="hybridMultilevel"/>
    <w:tmpl w:val="13A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640B"/>
    <w:multiLevelType w:val="hybridMultilevel"/>
    <w:tmpl w:val="95EE332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B97CA0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DC03E6"/>
    <w:multiLevelType w:val="hybridMultilevel"/>
    <w:tmpl w:val="69CA0296"/>
    <w:lvl w:ilvl="0" w:tplc="9CCEF3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F2E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8DD3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C1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0B9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4AA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5220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50C05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03D1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0F0E4A"/>
    <w:multiLevelType w:val="hybridMultilevel"/>
    <w:tmpl w:val="AA840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65B46"/>
    <w:multiLevelType w:val="hybridMultilevel"/>
    <w:tmpl w:val="C860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8485D"/>
    <w:multiLevelType w:val="hybridMultilevel"/>
    <w:tmpl w:val="B8481792"/>
    <w:lvl w:ilvl="0" w:tplc="277C0B94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47FE2731"/>
    <w:multiLevelType w:val="hybridMultilevel"/>
    <w:tmpl w:val="97D8B97E"/>
    <w:lvl w:ilvl="0" w:tplc="B79684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A2FBB"/>
    <w:multiLevelType w:val="hybridMultilevel"/>
    <w:tmpl w:val="CE40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A3888"/>
    <w:multiLevelType w:val="hybridMultilevel"/>
    <w:tmpl w:val="D61688B4"/>
    <w:lvl w:ilvl="0" w:tplc="F70AC24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E45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60B7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E0B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81C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12EE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4DB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CC3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BA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5E7564"/>
    <w:multiLevelType w:val="hybridMultilevel"/>
    <w:tmpl w:val="41FE2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AC2564"/>
    <w:multiLevelType w:val="hybridMultilevel"/>
    <w:tmpl w:val="4C10777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679D518F"/>
    <w:multiLevelType w:val="hybridMultilevel"/>
    <w:tmpl w:val="5050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73AF8"/>
    <w:multiLevelType w:val="hybridMultilevel"/>
    <w:tmpl w:val="1E04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6D2F"/>
    <w:multiLevelType w:val="hybridMultilevel"/>
    <w:tmpl w:val="F78C7BF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17828"/>
    <w:multiLevelType w:val="hybridMultilevel"/>
    <w:tmpl w:val="B9324B90"/>
    <w:lvl w:ilvl="0" w:tplc="277C0B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4F4C81DA">
      <w:start w:val="1"/>
      <w:numFmt w:val="bullet"/>
      <w:pStyle w:val="SREBbullet2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61159"/>
    <w:multiLevelType w:val="hybridMultilevel"/>
    <w:tmpl w:val="597C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C4C3C"/>
    <w:multiLevelType w:val="hybridMultilevel"/>
    <w:tmpl w:val="DA78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D0ACE"/>
    <w:multiLevelType w:val="hybridMultilevel"/>
    <w:tmpl w:val="6DF829A8"/>
    <w:lvl w:ilvl="0" w:tplc="5EA07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0E2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77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A24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866B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9E94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03A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624F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EC69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4387360">
    <w:abstractNumId w:val="29"/>
  </w:num>
  <w:num w:numId="2" w16cid:durableId="1567494453">
    <w:abstractNumId w:val="12"/>
  </w:num>
  <w:num w:numId="3" w16cid:durableId="982664404">
    <w:abstractNumId w:val="20"/>
  </w:num>
  <w:num w:numId="4" w16cid:durableId="860358126">
    <w:abstractNumId w:val="24"/>
  </w:num>
  <w:num w:numId="5" w16cid:durableId="1902903709">
    <w:abstractNumId w:val="1"/>
  </w:num>
  <w:num w:numId="6" w16cid:durableId="136337583">
    <w:abstractNumId w:val="11"/>
  </w:num>
  <w:num w:numId="7" w16cid:durableId="209388547">
    <w:abstractNumId w:val="5"/>
  </w:num>
  <w:num w:numId="8" w16cid:durableId="249318564">
    <w:abstractNumId w:val="25"/>
  </w:num>
  <w:num w:numId="9" w16cid:durableId="1129397630">
    <w:abstractNumId w:val="7"/>
  </w:num>
  <w:num w:numId="10" w16cid:durableId="176777562">
    <w:abstractNumId w:val="16"/>
  </w:num>
  <w:num w:numId="11" w16cid:durableId="1320844994">
    <w:abstractNumId w:val="28"/>
  </w:num>
  <w:num w:numId="12" w16cid:durableId="2078937871">
    <w:abstractNumId w:val="4"/>
  </w:num>
  <w:num w:numId="13" w16cid:durableId="721556777">
    <w:abstractNumId w:val="14"/>
  </w:num>
  <w:num w:numId="14" w16cid:durableId="982852071">
    <w:abstractNumId w:val="22"/>
  </w:num>
  <w:num w:numId="15" w16cid:durableId="1951012124">
    <w:abstractNumId w:val="13"/>
  </w:num>
  <w:num w:numId="16" w16cid:durableId="366104854">
    <w:abstractNumId w:val="2"/>
  </w:num>
  <w:num w:numId="17" w16cid:durableId="681393745">
    <w:abstractNumId w:val="9"/>
  </w:num>
  <w:num w:numId="18" w16cid:durableId="1641957062">
    <w:abstractNumId w:val="10"/>
  </w:num>
  <w:num w:numId="19" w16cid:durableId="1067727910">
    <w:abstractNumId w:val="18"/>
  </w:num>
  <w:num w:numId="20" w16cid:durableId="565185977">
    <w:abstractNumId w:val="19"/>
  </w:num>
  <w:num w:numId="21" w16cid:durableId="1781488967">
    <w:abstractNumId w:val="0"/>
  </w:num>
  <w:num w:numId="22" w16cid:durableId="484322913">
    <w:abstractNumId w:val="26"/>
  </w:num>
  <w:num w:numId="23" w16cid:durableId="486435632">
    <w:abstractNumId w:val="3"/>
  </w:num>
  <w:num w:numId="24" w16cid:durableId="575556473">
    <w:abstractNumId w:val="8"/>
  </w:num>
  <w:num w:numId="25" w16cid:durableId="892230616">
    <w:abstractNumId w:val="17"/>
  </w:num>
  <w:num w:numId="26" w16cid:durableId="2138794533">
    <w:abstractNumId w:val="27"/>
  </w:num>
  <w:num w:numId="27" w16cid:durableId="364797089">
    <w:abstractNumId w:val="6"/>
  </w:num>
  <w:num w:numId="28" w16cid:durableId="1106080807">
    <w:abstractNumId w:val="15"/>
  </w:num>
  <w:num w:numId="29" w16cid:durableId="91324233">
    <w:abstractNumId w:val="30"/>
  </w:num>
  <w:num w:numId="30" w16cid:durableId="527258468">
    <w:abstractNumId w:val="21"/>
  </w:num>
  <w:num w:numId="31" w16cid:durableId="175925410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>
      <o:colormru v:ext="edit" colors="#426a1f,#006d8c,#c30c21,#00396c,#5c4f3d,#e57c23,#f1aa48,#59a131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4"/>
    <w:rsid w:val="00000F40"/>
    <w:rsid w:val="00005BE7"/>
    <w:rsid w:val="00022469"/>
    <w:rsid w:val="00031628"/>
    <w:rsid w:val="00054AE4"/>
    <w:rsid w:val="000646C5"/>
    <w:rsid w:val="00065F09"/>
    <w:rsid w:val="00072F27"/>
    <w:rsid w:val="000A5DEF"/>
    <w:rsid w:val="000B4215"/>
    <w:rsid w:val="000D49A6"/>
    <w:rsid w:val="000E4D55"/>
    <w:rsid w:val="00107027"/>
    <w:rsid w:val="00115730"/>
    <w:rsid w:val="00116E8A"/>
    <w:rsid w:val="0013275E"/>
    <w:rsid w:val="001544D4"/>
    <w:rsid w:val="00167F12"/>
    <w:rsid w:val="00173971"/>
    <w:rsid w:val="00182751"/>
    <w:rsid w:val="001C5131"/>
    <w:rsid w:val="001D29A1"/>
    <w:rsid w:val="001E05E3"/>
    <w:rsid w:val="001F2C2B"/>
    <w:rsid w:val="002037D8"/>
    <w:rsid w:val="00217CF7"/>
    <w:rsid w:val="0022783E"/>
    <w:rsid w:val="002400AA"/>
    <w:rsid w:val="002653FF"/>
    <w:rsid w:val="00267076"/>
    <w:rsid w:val="00277B56"/>
    <w:rsid w:val="002934A7"/>
    <w:rsid w:val="002A03F1"/>
    <w:rsid w:val="002C2C7A"/>
    <w:rsid w:val="002E05F2"/>
    <w:rsid w:val="002E5C76"/>
    <w:rsid w:val="002F3F7B"/>
    <w:rsid w:val="002F4D63"/>
    <w:rsid w:val="00355EE8"/>
    <w:rsid w:val="0039248C"/>
    <w:rsid w:val="003B60FD"/>
    <w:rsid w:val="003C2675"/>
    <w:rsid w:val="003C5E16"/>
    <w:rsid w:val="003F2B04"/>
    <w:rsid w:val="003F6AED"/>
    <w:rsid w:val="0040200B"/>
    <w:rsid w:val="00404353"/>
    <w:rsid w:val="0042340A"/>
    <w:rsid w:val="00437C1D"/>
    <w:rsid w:val="00441FEB"/>
    <w:rsid w:val="004529DA"/>
    <w:rsid w:val="00455C14"/>
    <w:rsid w:val="00474751"/>
    <w:rsid w:val="00486C48"/>
    <w:rsid w:val="00496EBB"/>
    <w:rsid w:val="004A0E23"/>
    <w:rsid w:val="004D10A2"/>
    <w:rsid w:val="004D246E"/>
    <w:rsid w:val="004E763F"/>
    <w:rsid w:val="005155CE"/>
    <w:rsid w:val="005158BE"/>
    <w:rsid w:val="00523A32"/>
    <w:rsid w:val="0054591F"/>
    <w:rsid w:val="00550E00"/>
    <w:rsid w:val="0055512D"/>
    <w:rsid w:val="0055739D"/>
    <w:rsid w:val="00580004"/>
    <w:rsid w:val="005933F8"/>
    <w:rsid w:val="00595CAA"/>
    <w:rsid w:val="005C4DBA"/>
    <w:rsid w:val="005D2F61"/>
    <w:rsid w:val="005D6593"/>
    <w:rsid w:val="005D6862"/>
    <w:rsid w:val="00611789"/>
    <w:rsid w:val="00633A7B"/>
    <w:rsid w:val="00637902"/>
    <w:rsid w:val="00654815"/>
    <w:rsid w:val="00666471"/>
    <w:rsid w:val="006904B3"/>
    <w:rsid w:val="006910DD"/>
    <w:rsid w:val="006B7D03"/>
    <w:rsid w:val="006E3E6E"/>
    <w:rsid w:val="006E61D0"/>
    <w:rsid w:val="007054E9"/>
    <w:rsid w:val="007115BB"/>
    <w:rsid w:val="00712E46"/>
    <w:rsid w:val="007141C5"/>
    <w:rsid w:val="00746FD6"/>
    <w:rsid w:val="00754CB0"/>
    <w:rsid w:val="007648B1"/>
    <w:rsid w:val="00781A76"/>
    <w:rsid w:val="00784CC0"/>
    <w:rsid w:val="007A2FE1"/>
    <w:rsid w:val="007C2B55"/>
    <w:rsid w:val="007E0A29"/>
    <w:rsid w:val="007E4A2C"/>
    <w:rsid w:val="00807593"/>
    <w:rsid w:val="00827C26"/>
    <w:rsid w:val="008317A3"/>
    <w:rsid w:val="00856C22"/>
    <w:rsid w:val="00874768"/>
    <w:rsid w:val="0087753C"/>
    <w:rsid w:val="00884B5F"/>
    <w:rsid w:val="008A0716"/>
    <w:rsid w:val="008A1341"/>
    <w:rsid w:val="008E49BB"/>
    <w:rsid w:val="00903BFE"/>
    <w:rsid w:val="009133E2"/>
    <w:rsid w:val="00927AB7"/>
    <w:rsid w:val="0093501E"/>
    <w:rsid w:val="00940C39"/>
    <w:rsid w:val="00981C03"/>
    <w:rsid w:val="00984628"/>
    <w:rsid w:val="0099305E"/>
    <w:rsid w:val="0099476F"/>
    <w:rsid w:val="009C2091"/>
    <w:rsid w:val="009C2555"/>
    <w:rsid w:val="009D004F"/>
    <w:rsid w:val="009D080B"/>
    <w:rsid w:val="009F1D05"/>
    <w:rsid w:val="009F20F8"/>
    <w:rsid w:val="00A13899"/>
    <w:rsid w:val="00A2657E"/>
    <w:rsid w:val="00A5174A"/>
    <w:rsid w:val="00A53363"/>
    <w:rsid w:val="00A61C8B"/>
    <w:rsid w:val="00A62F01"/>
    <w:rsid w:val="00A84C29"/>
    <w:rsid w:val="00A876D4"/>
    <w:rsid w:val="00A948B7"/>
    <w:rsid w:val="00AA10A6"/>
    <w:rsid w:val="00AB3753"/>
    <w:rsid w:val="00AD23E4"/>
    <w:rsid w:val="00AD30A4"/>
    <w:rsid w:val="00AD3A5E"/>
    <w:rsid w:val="00AE1264"/>
    <w:rsid w:val="00B053FC"/>
    <w:rsid w:val="00B266CC"/>
    <w:rsid w:val="00B51A7B"/>
    <w:rsid w:val="00B631B8"/>
    <w:rsid w:val="00B71552"/>
    <w:rsid w:val="00B74108"/>
    <w:rsid w:val="00B74D09"/>
    <w:rsid w:val="00B75FF1"/>
    <w:rsid w:val="00B76CC8"/>
    <w:rsid w:val="00B80CC4"/>
    <w:rsid w:val="00B86114"/>
    <w:rsid w:val="00BA4249"/>
    <w:rsid w:val="00BC6815"/>
    <w:rsid w:val="00BD191B"/>
    <w:rsid w:val="00BE7E2B"/>
    <w:rsid w:val="00BF2E2B"/>
    <w:rsid w:val="00BF6220"/>
    <w:rsid w:val="00C0136E"/>
    <w:rsid w:val="00C13495"/>
    <w:rsid w:val="00C22ED8"/>
    <w:rsid w:val="00C25CFF"/>
    <w:rsid w:val="00C304E2"/>
    <w:rsid w:val="00C37608"/>
    <w:rsid w:val="00C44DA3"/>
    <w:rsid w:val="00C458D1"/>
    <w:rsid w:val="00C57A53"/>
    <w:rsid w:val="00C61A95"/>
    <w:rsid w:val="00C62470"/>
    <w:rsid w:val="00C6251F"/>
    <w:rsid w:val="00C66DF1"/>
    <w:rsid w:val="00C703F2"/>
    <w:rsid w:val="00C82E9A"/>
    <w:rsid w:val="00C83E6B"/>
    <w:rsid w:val="00C9733B"/>
    <w:rsid w:val="00CA7B48"/>
    <w:rsid w:val="00CD18D1"/>
    <w:rsid w:val="00CD5442"/>
    <w:rsid w:val="00CE296C"/>
    <w:rsid w:val="00D1631A"/>
    <w:rsid w:val="00D20DFA"/>
    <w:rsid w:val="00D21D96"/>
    <w:rsid w:val="00D50D2F"/>
    <w:rsid w:val="00D5534F"/>
    <w:rsid w:val="00D60A7B"/>
    <w:rsid w:val="00D74430"/>
    <w:rsid w:val="00D8160C"/>
    <w:rsid w:val="00D82EF2"/>
    <w:rsid w:val="00D91538"/>
    <w:rsid w:val="00D933E3"/>
    <w:rsid w:val="00D93D77"/>
    <w:rsid w:val="00D95745"/>
    <w:rsid w:val="00DA1B6B"/>
    <w:rsid w:val="00DB019D"/>
    <w:rsid w:val="00DD6EA2"/>
    <w:rsid w:val="00DE19C3"/>
    <w:rsid w:val="00DF0A44"/>
    <w:rsid w:val="00E05994"/>
    <w:rsid w:val="00E1018B"/>
    <w:rsid w:val="00E17092"/>
    <w:rsid w:val="00E32B80"/>
    <w:rsid w:val="00E33966"/>
    <w:rsid w:val="00E44F23"/>
    <w:rsid w:val="00E73BF7"/>
    <w:rsid w:val="00E80FAD"/>
    <w:rsid w:val="00E85FBF"/>
    <w:rsid w:val="00E9388C"/>
    <w:rsid w:val="00EA352F"/>
    <w:rsid w:val="00EC4470"/>
    <w:rsid w:val="00ED0BC4"/>
    <w:rsid w:val="00EE7B8D"/>
    <w:rsid w:val="00F010D0"/>
    <w:rsid w:val="00F03BCF"/>
    <w:rsid w:val="00F32C3E"/>
    <w:rsid w:val="00F37CA1"/>
    <w:rsid w:val="00F50ACD"/>
    <w:rsid w:val="00F52918"/>
    <w:rsid w:val="00F53DE0"/>
    <w:rsid w:val="00F5470A"/>
    <w:rsid w:val="00F62ED8"/>
    <w:rsid w:val="00F653E4"/>
    <w:rsid w:val="00F80482"/>
    <w:rsid w:val="00FA1D18"/>
    <w:rsid w:val="00FB1967"/>
    <w:rsid w:val="00FC02D6"/>
    <w:rsid w:val="00FC5B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o:colormru v:ext="edit" colors="#426a1f,#006d8c,#c30c21,#00396c,#5c4f3d,#e57c23,#f1aa48,#59a131"/>
    </o:shapedefaults>
    <o:shapelayout v:ext="edit">
      <o:idmap v:ext="edit" data="1"/>
    </o:shapelayout>
  </w:shapeDefaults>
  <w:decimalSymbol w:val="."/>
  <w:listSeparator w:val=","/>
  <w14:docId w14:val="6EE95B24"/>
  <w15:docId w15:val="{19387289-FA4C-45C3-A889-A5CD9E58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CC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eorgia" w:hAnsi="Georgia" w:cs="Georgia"/>
      <w:color w:val="000000"/>
      <w:spacing w:val="-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BC68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28D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80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28D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80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15E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CC4"/>
    <w:rPr>
      <w:rFonts w:asciiTheme="majorHAnsi" w:eastAsiaTheme="majorEastAsia" w:hAnsiTheme="majorHAnsi" w:cstheme="majorBidi"/>
      <w:color w:val="628D00" w:themeColor="accent1" w:themeShade="BF"/>
      <w:spacing w:val="-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CC4"/>
    <w:rPr>
      <w:rFonts w:asciiTheme="majorHAnsi" w:eastAsiaTheme="majorEastAsia" w:hAnsiTheme="majorHAnsi" w:cstheme="majorBidi"/>
      <w:color w:val="415E00" w:themeColor="accent1" w:themeShade="7F"/>
      <w:spacing w:val="-2"/>
    </w:rPr>
  </w:style>
  <w:style w:type="character" w:styleId="PageNumber">
    <w:name w:val="page number"/>
    <w:basedOn w:val="DefaultParagraphFont"/>
    <w:uiPriority w:val="99"/>
    <w:semiHidden/>
    <w:unhideWhenUsed/>
    <w:rsid w:val="00F50ACD"/>
  </w:style>
  <w:style w:type="paragraph" w:styleId="BalloonText">
    <w:name w:val="Balloon Text"/>
    <w:basedOn w:val="Normal"/>
    <w:link w:val="BalloonTextChar"/>
    <w:uiPriority w:val="99"/>
    <w:semiHidden/>
    <w:unhideWhenUsed/>
    <w:rsid w:val="00C66D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DF1"/>
    <w:rPr>
      <w:rFonts w:ascii="Lucida Grande" w:hAnsi="Lucida Grande" w:cs="Lucida Grande"/>
      <w:sz w:val="18"/>
      <w:szCs w:val="18"/>
    </w:rPr>
  </w:style>
  <w:style w:type="paragraph" w:customStyle="1" w:styleId="SREBtext">
    <w:name w:val="SREB text"/>
    <w:basedOn w:val="Normal"/>
    <w:rsid w:val="00CA7B48"/>
    <w:pPr>
      <w:spacing w:after="200"/>
    </w:pPr>
  </w:style>
  <w:style w:type="paragraph" w:customStyle="1" w:styleId="SREBheader1">
    <w:name w:val="SREB header 1"/>
    <w:basedOn w:val="Normal"/>
    <w:qFormat/>
    <w:rsid w:val="00AB3753"/>
    <w:pPr>
      <w:spacing w:after="80"/>
    </w:pPr>
    <w:rPr>
      <w:rFonts w:ascii="Arial" w:hAnsi="Arial" w:cs="Arial-BoldMT"/>
      <w:b/>
      <w:bCs/>
      <w:color w:val="003087" w:themeColor="text2"/>
      <w:sz w:val="28"/>
    </w:rPr>
  </w:style>
  <w:style w:type="paragraph" w:customStyle="1" w:styleId="SREBcallout">
    <w:name w:val="SREB call out"/>
    <w:basedOn w:val="Normal"/>
    <w:qFormat/>
    <w:rsid w:val="00CA7B48"/>
    <w:pPr>
      <w:spacing w:after="200"/>
      <w:ind w:left="720" w:right="720"/>
    </w:pPr>
    <w:rPr>
      <w:rFonts w:ascii="Arial" w:hAnsi="Arial" w:cs="Arial-ItalicMT"/>
      <w:i/>
      <w:iCs/>
      <w:color w:val="003087" w:themeColor="text2"/>
      <w:sz w:val="24"/>
      <w:szCs w:val="24"/>
    </w:rPr>
  </w:style>
  <w:style w:type="paragraph" w:customStyle="1" w:styleId="SREBtitle">
    <w:name w:val="SREB title"/>
    <w:basedOn w:val="Normal"/>
    <w:qFormat/>
    <w:rsid w:val="00F32C3E"/>
    <w:pPr>
      <w:spacing w:after="360" w:line="240" w:lineRule="auto"/>
    </w:pPr>
    <w:rPr>
      <w:rFonts w:ascii="Arial" w:hAnsi="Arial"/>
      <w:b/>
      <w:color w:val="003087" w:themeColor="text2"/>
      <w:sz w:val="56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F010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39D"/>
    <w:pPr>
      <w:widowControl/>
      <w:suppressAutoHyphens w:val="0"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color w:val="auto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73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4B5F"/>
    <w:rPr>
      <w:sz w:val="16"/>
      <w:szCs w:val="16"/>
    </w:rPr>
  </w:style>
  <w:style w:type="table" w:styleId="GridTable4-Accent3">
    <w:name w:val="Grid Table 4 Accent 3"/>
    <w:basedOn w:val="TableNormal"/>
    <w:uiPriority w:val="49"/>
    <w:rsid w:val="00884B5F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FFC766" w:themeColor="accent3" w:themeTint="99"/>
        <w:left w:val="single" w:sz="4" w:space="0" w:color="FFC766" w:themeColor="accent3" w:themeTint="99"/>
        <w:bottom w:val="single" w:sz="4" w:space="0" w:color="FFC766" w:themeColor="accent3" w:themeTint="99"/>
        <w:right w:val="single" w:sz="4" w:space="0" w:color="FFC766" w:themeColor="accent3" w:themeTint="99"/>
        <w:insideH w:val="single" w:sz="4" w:space="0" w:color="FFC766" w:themeColor="accent3" w:themeTint="99"/>
        <w:insideV w:val="single" w:sz="4" w:space="0" w:color="FFC766" w:themeColor="accent3" w:themeTint="99"/>
      </w:tblBorders>
    </w:tblPr>
    <w:tblStylePr w:type="firstRow">
      <w:rPr>
        <w:b/>
        <w:bCs/>
        <w:color w:val="003087" w:themeColor="background1"/>
      </w:rPr>
      <w:tblPr/>
      <w:tcPr>
        <w:tcBorders>
          <w:top w:val="single" w:sz="4" w:space="0" w:color="FFA300" w:themeColor="accent3"/>
          <w:left w:val="single" w:sz="4" w:space="0" w:color="FFA300" w:themeColor="accent3"/>
          <w:bottom w:val="single" w:sz="4" w:space="0" w:color="FFA300" w:themeColor="accent3"/>
          <w:right w:val="single" w:sz="4" w:space="0" w:color="FFA300" w:themeColor="accent3"/>
          <w:insideH w:val="nil"/>
          <w:insideV w:val="nil"/>
        </w:tcBorders>
        <w:shd w:val="clear" w:color="auto" w:fill="FFA300" w:themeFill="accent3"/>
      </w:tcPr>
    </w:tblStylePr>
    <w:tblStylePr w:type="lastRow">
      <w:rPr>
        <w:b/>
        <w:bCs/>
      </w:rPr>
      <w:tblPr/>
      <w:tcPr>
        <w:tcBorders>
          <w:top w:val="double" w:sz="4" w:space="0" w:color="FFA3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3" w:themeFillTint="33"/>
      </w:tcPr>
    </w:tblStylePr>
    <w:tblStylePr w:type="band1Horz">
      <w:tblPr/>
      <w:tcPr>
        <w:shd w:val="clear" w:color="auto" w:fill="FFECCC" w:themeFill="accent3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884B5F"/>
    <w:pPr>
      <w:spacing w:after="0"/>
    </w:pPr>
    <w:rPr>
      <w:color w:val="92A000" w:themeColor="accent4" w:themeShade="BF"/>
    </w:rPr>
    <w:tblPr>
      <w:tblStyleRowBandSize w:val="1"/>
      <w:tblStyleColBandSize w:val="1"/>
      <w:tblBorders>
        <w:top w:val="single" w:sz="4" w:space="0" w:color="EFFF4D" w:themeColor="accent4" w:themeTint="99"/>
        <w:left w:val="single" w:sz="4" w:space="0" w:color="EFFF4D" w:themeColor="accent4" w:themeTint="99"/>
        <w:bottom w:val="single" w:sz="4" w:space="0" w:color="EFFF4D" w:themeColor="accent4" w:themeTint="99"/>
        <w:right w:val="single" w:sz="4" w:space="0" w:color="EFFF4D" w:themeColor="accent4" w:themeTint="99"/>
        <w:insideH w:val="single" w:sz="4" w:space="0" w:color="EFFF4D" w:themeColor="accent4" w:themeTint="99"/>
        <w:insideV w:val="single" w:sz="4" w:space="0" w:color="EFFF4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308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3087" w:themeFill="background1"/>
      </w:tcPr>
    </w:tblStylePr>
    <w:tblStylePr w:type="band1Vert">
      <w:tblPr/>
      <w:tcPr>
        <w:shd w:val="clear" w:color="auto" w:fill="F9FFC3" w:themeFill="accent4" w:themeFillTint="33"/>
      </w:tcPr>
    </w:tblStylePr>
    <w:tblStylePr w:type="band1Horz">
      <w:tblPr/>
      <w:tcPr>
        <w:shd w:val="clear" w:color="auto" w:fill="F9FFC3" w:themeFill="accent4" w:themeFillTint="33"/>
      </w:tcPr>
    </w:tblStylePr>
    <w:tblStylePr w:type="neCell">
      <w:tblPr/>
      <w:tcPr>
        <w:tcBorders>
          <w:bottom w:val="single" w:sz="4" w:space="0" w:color="EFFF4D" w:themeColor="accent4" w:themeTint="99"/>
        </w:tcBorders>
      </w:tcPr>
    </w:tblStylePr>
    <w:tblStylePr w:type="nwCell">
      <w:tblPr/>
      <w:tcPr>
        <w:tcBorders>
          <w:bottom w:val="single" w:sz="4" w:space="0" w:color="EFFF4D" w:themeColor="accent4" w:themeTint="99"/>
        </w:tcBorders>
      </w:tcPr>
    </w:tblStylePr>
    <w:tblStylePr w:type="seCell">
      <w:tblPr/>
      <w:tcPr>
        <w:tcBorders>
          <w:top w:val="single" w:sz="4" w:space="0" w:color="EFFF4D" w:themeColor="accent4" w:themeTint="99"/>
        </w:tcBorders>
      </w:tcPr>
    </w:tblStylePr>
    <w:tblStylePr w:type="swCell">
      <w:tblPr/>
      <w:tcPr>
        <w:tcBorders>
          <w:top w:val="single" w:sz="4" w:space="0" w:color="EFFF4D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884B5F"/>
    <w:pPr>
      <w:spacing w:after="0"/>
    </w:pPr>
    <w:rPr>
      <w:color w:val="003087" w:themeColor="text1"/>
    </w:rPr>
    <w:tblPr>
      <w:tblStyleRowBandSize w:val="1"/>
      <w:tblStyleColBandSize w:val="1"/>
      <w:tblBorders>
        <w:top w:val="single" w:sz="4" w:space="0" w:color="1E6DFF" w:themeColor="text1" w:themeTint="99"/>
        <w:left w:val="single" w:sz="4" w:space="0" w:color="1E6DFF" w:themeColor="text1" w:themeTint="99"/>
        <w:bottom w:val="single" w:sz="4" w:space="0" w:color="1E6DFF" w:themeColor="text1" w:themeTint="99"/>
        <w:right w:val="single" w:sz="4" w:space="0" w:color="1E6DFF" w:themeColor="text1" w:themeTint="99"/>
        <w:insideH w:val="single" w:sz="4" w:space="0" w:color="1E6DFF" w:themeColor="text1" w:themeTint="99"/>
        <w:insideV w:val="single" w:sz="4" w:space="0" w:color="1E6D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1E6D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E6D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text1" w:themeFillTint="33"/>
      </w:tcPr>
    </w:tblStylePr>
    <w:tblStylePr w:type="band1Horz">
      <w:tblPr/>
      <w:tcPr>
        <w:shd w:val="clear" w:color="auto" w:fill="B4CEFF" w:themeFill="text1" w:themeFillTint="33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D5534F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E5C7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5C76"/>
    <w:rPr>
      <w:rFonts w:ascii="Georgia" w:hAnsi="Georgia" w:cs="Georgia"/>
      <w:color w:val="000000"/>
      <w:spacing w:val="-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E5C76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E2B"/>
    <w:rPr>
      <w:rFonts w:ascii="Georgia" w:hAnsi="Georgia" w:cs="Georgia"/>
      <w:color w:val="000000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E2B"/>
    <w:rPr>
      <w:rFonts w:ascii="Georgia" w:hAnsi="Georgia" w:cs="Georgia"/>
      <w:b/>
      <w:bCs/>
      <w:color w:val="000000"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6E3E6E"/>
    <w:pPr>
      <w:spacing w:after="0"/>
    </w:pPr>
    <w:rPr>
      <w:rFonts w:ascii="Georgia" w:hAnsi="Georgia" w:cs="Georgia"/>
      <w:color w:val="000000"/>
      <w:spacing w:val="-2"/>
      <w:sz w:val="22"/>
      <w:szCs w:val="22"/>
    </w:rPr>
  </w:style>
  <w:style w:type="table" w:styleId="PlainTable1">
    <w:name w:val="Plain Table 1"/>
    <w:basedOn w:val="TableNormal"/>
    <w:uiPriority w:val="41"/>
    <w:rsid w:val="009F20F8"/>
    <w:pPr>
      <w:spacing w:after="0"/>
    </w:pPr>
    <w:rPr>
      <w:sz w:val="22"/>
      <w:szCs w:val="22"/>
    </w:rPr>
    <w:tblPr>
      <w:tblStyleRowBandSize w:val="1"/>
      <w:tblStyleColBandSize w:val="1"/>
      <w:tblBorders>
        <w:top w:val="single" w:sz="4" w:space="0" w:color="002365" w:themeColor="background1" w:themeShade="BF"/>
        <w:left w:val="single" w:sz="4" w:space="0" w:color="002365" w:themeColor="background1" w:themeShade="BF"/>
        <w:bottom w:val="single" w:sz="4" w:space="0" w:color="002365" w:themeColor="background1" w:themeShade="BF"/>
        <w:right w:val="single" w:sz="4" w:space="0" w:color="002365" w:themeColor="background1" w:themeShade="BF"/>
        <w:insideH w:val="single" w:sz="4" w:space="0" w:color="002365" w:themeColor="background1" w:themeShade="BF"/>
        <w:insideV w:val="single" w:sz="4" w:space="0" w:color="00236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236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2D80" w:themeFill="background1" w:themeFillShade="F2"/>
      </w:tcPr>
    </w:tblStylePr>
    <w:tblStylePr w:type="band1Horz">
      <w:tblPr/>
      <w:tcPr>
        <w:shd w:val="clear" w:color="auto" w:fill="002D80" w:themeFill="background1" w:themeFillShade="F2"/>
      </w:tcPr>
    </w:tblStylePr>
  </w:style>
  <w:style w:type="paragraph" w:customStyle="1" w:styleId="SREBheader2">
    <w:name w:val="SREB header 2"/>
    <w:qFormat/>
    <w:rsid w:val="00AB3753"/>
    <w:pPr>
      <w:spacing w:after="80" w:line="288" w:lineRule="auto"/>
    </w:pPr>
    <w:rPr>
      <w:rFonts w:ascii="Georgia" w:hAnsi="Georgia" w:cs="Arial"/>
      <w:i/>
      <w:iCs/>
      <w:color w:val="003087" w:themeColor="text2"/>
      <w:spacing w:val="-2"/>
    </w:rPr>
  </w:style>
  <w:style w:type="paragraph" w:customStyle="1" w:styleId="SREBtabletitle">
    <w:name w:val="SREB table title"/>
    <w:qFormat/>
    <w:rsid w:val="00AB3753"/>
    <w:pPr>
      <w:spacing w:after="80" w:line="288" w:lineRule="auto"/>
    </w:pPr>
    <w:rPr>
      <w:rFonts w:ascii="Arial" w:hAnsi="Arial" w:cs="Arial-BoldMT"/>
      <w:b/>
      <w:bCs/>
      <w:color w:val="003087" w:themeColor="text2"/>
      <w:spacing w:val="-2"/>
      <w:sz w:val="28"/>
      <w:szCs w:val="22"/>
    </w:rPr>
  </w:style>
  <w:style w:type="paragraph" w:customStyle="1" w:styleId="SREBboxhead">
    <w:name w:val="SREB box head"/>
    <w:qFormat/>
    <w:rsid w:val="00AB3753"/>
    <w:pPr>
      <w:spacing w:after="80" w:line="288" w:lineRule="auto"/>
    </w:pPr>
    <w:rPr>
      <w:rFonts w:ascii="Arial" w:hAnsi="Arial" w:cs="Arial"/>
      <w:b/>
      <w:bCs/>
      <w:color w:val="003087" w:themeColor="text2"/>
      <w:spacing w:val="-2"/>
      <w:sz w:val="28"/>
      <w:szCs w:val="28"/>
    </w:rPr>
  </w:style>
  <w:style w:type="paragraph" w:customStyle="1" w:styleId="SREBbullet1">
    <w:name w:val="SREB bullet 1"/>
    <w:basedOn w:val="SREBtext"/>
    <w:qFormat/>
    <w:rsid w:val="0099476F"/>
    <w:pPr>
      <w:numPr>
        <w:numId w:val="27"/>
      </w:numPr>
    </w:pPr>
  </w:style>
  <w:style w:type="paragraph" w:customStyle="1" w:styleId="SREBbullet2">
    <w:name w:val="SREB bullet 2"/>
    <w:basedOn w:val="SREBtext"/>
    <w:qFormat/>
    <w:rsid w:val="0099476F"/>
    <w:pPr>
      <w:numPr>
        <w:ilvl w:val="1"/>
        <w:numId w:val="2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C6815"/>
    <w:rPr>
      <w:rFonts w:asciiTheme="majorHAnsi" w:eastAsiaTheme="majorEastAsia" w:hAnsiTheme="majorHAnsi" w:cstheme="majorBidi"/>
      <w:color w:val="628D00" w:themeColor="accent1" w:themeShade="BF"/>
      <w:spacing w:val="-2"/>
      <w:sz w:val="32"/>
      <w:szCs w:val="32"/>
    </w:rPr>
  </w:style>
  <w:style w:type="paragraph" w:customStyle="1" w:styleId="SREBboxtext">
    <w:name w:val="SREB box text"/>
    <w:basedOn w:val="Normal"/>
    <w:qFormat/>
    <w:rsid w:val="00CA7B48"/>
    <w:pPr>
      <w:spacing w:after="120"/>
    </w:pPr>
    <w:rPr>
      <w:rFonts w:ascii="Arial" w:hAnsi="Arial" w:cs="Arial"/>
    </w:rPr>
  </w:style>
  <w:style w:type="paragraph" w:customStyle="1" w:styleId="SREBtabletext">
    <w:name w:val="SREB table text"/>
    <w:basedOn w:val="Normal"/>
    <w:qFormat/>
    <w:rsid w:val="00217CF7"/>
    <w:rPr>
      <w:rFonts w:ascii="Arial" w:hAnsi="Arial" w:cs="Arial"/>
      <w:color w:val="003087" w:themeColor="text1"/>
    </w:rPr>
  </w:style>
  <w:style w:type="paragraph" w:customStyle="1" w:styleId="SREBtableheaders">
    <w:name w:val="SREB table headers"/>
    <w:basedOn w:val="Normal"/>
    <w:qFormat/>
    <w:rsid w:val="00217CF7"/>
    <w:pPr>
      <w:jc w:val="center"/>
    </w:pPr>
    <w:rPr>
      <w:rFonts w:ascii="Arial" w:hAnsi="Arial" w:cs="Arial"/>
      <w:b/>
      <w:bCs/>
      <w:color w:val="003087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5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55"/>
    <w:rPr>
      <w:rFonts w:ascii="Georgia" w:hAnsi="Georgia" w:cs="Georgia"/>
      <w:color w:val="000000"/>
      <w:spacing w:val="-2"/>
      <w:sz w:val="22"/>
      <w:szCs w:val="22"/>
    </w:rPr>
  </w:style>
  <w:style w:type="table" w:customStyle="1" w:styleId="TableGrid">
    <w:name w:val="TableGrid"/>
    <w:rsid w:val="00E1018B"/>
    <w:pPr>
      <w:spacing w:after="0"/>
    </w:pPr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1018B"/>
    <w:rPr>
      <w:color w:val="1A3CE6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3971"/>
    <w:pPr>
      <w:ind w:left="720"/>
      <w:contextualSpacing/>
    </w:pPr>
  </w:style>
  <w:style w:type="table" w:styleId="TableGrid0">
    <w:name w:val="Table Grid"/>
    <w:basedOn w:val="TableNormal"/>
    <w:uiPriority w:val="59"/>
    <w:rsid w:val="00A876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A0E23"/>
    <w:pPr>
      <w:widowControl/>
      <w:tabs>
        <w:tab w:val="center" w:pos="4680"/>
        <w:tab w:val="right" w:pos="9360"/>
      </w:tabs>
      <w:suppressAutoHyphens w:val="0"/>
      <w:autoSpaceDE/>
      <w:autoSpaceDN/>
      <w:adjustRightInd/>
      <w:spacing w:line="240" w:lineRule="auto"/>
      <w:ind w:left="10" w:hanging="10"/>
      <w:textAlignment w:val="auto"/>
    </w:pPr>
    <w:rPr>
      <w:rFonts w:ascii="Arial" w:eastAsia="Arial" w:hAnsi="Arial" w:cs="Arial"/>
      <w:color w:val="181717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4A0E23"/>
    <w:rPr>
      <w:rFonts w:ascii="Arial" w:eastAsia="Arial" w:hAnsi="Arial" w:cs="Arial"/>
      <w:color w:val="1817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reb.org/making-schools-work-conference-hot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EB 2023">
      <a:dk1>
        <a:srgbClr val="003087"/>
      </a:dk1>
      <a:lt1>
        <a:srgbClr val="003087"/>
      </a:lt1>
      <a:dk2>
        <a:srgbClr val="003087"/>
      </a:dk2>
      <a:lt2>
        <a:srgbClr val="307FE2"/>
      </a:lt2>
      <a:accent1>
        <a:srgbClr val="84BD00"/>
      </a:accent1>
      <a:accent2>
        <a:srgbClr val="00AEC7"/>
      </a:accent2>
      <a:accent3>
        <a:srgbClr val="FFA300"/>
      </a:accent3>
      <a:accent4>
        <a:srgbClr val="C4D600"/>
      </a:accent4>
      <a:accent5>
        <a:srgbClr val="FFFFFF"/>
      </a:accent5>
      <a:accent6>
        <a:srgbClr val="FFFFFF"/>
      </a:accent6>
      <a:hlink>
        <a:srgbClr val="1A3CE6"/>
      </a:hlink>
      <a:folHlink>
        <a:srgbClr val="BCC5B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activity xmlns="a62b03c4-9264-4131-b102-1371a3299c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1ABA20A0E8D459C22EA2404EC930A" ma:contentTypeVersion="16" ma:contentTypeDescription="Create a new document." ma:contentTypeScope="" ma:versionID="f7ecc2dc598748f350493196a86f839a">
  <xsd:schema xmlns:xsd="http://www.w3.org/2001/XMLSchema" xmlns:xs="http://www.w3.org/2001/XMLSchema" xmlns:p="http://schemas.microsoft.com/office/2006/metadata/properties" xmlns:ns3="a62b03c4-9264-4131-b102-1371a3299c6c" xmlns:ns4="ddc3fc12-b50a-4e67-9b9b-b2919a40bc4c" targetNamespace="http://schemas.microsoft.com/office/2006/metadata/properties" ma:root="true" ma:fieldsID="9b93b2b454421627cef552d053a4af73" ns3:_="" ns4:_="">
    <xsd:import namespace="a62b03c4-9264-4131-b102-1371a3299c6c"/>
    <xsd:import namespace="ddc3fc12-b50a-4e67-9b9b-b2919a40bc4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b03c4-9264-4131-b102-1371a3299c6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3fc12-b50a-4e67-9b9b-b2919a40bc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763B1-BE37-44D2-A8EE-8FB306BBB5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8CDDD-B099-4512-B01A-521B36376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14A79-17AB-4AE1-9B95-914FB711051B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ddc3fc12-b50a-4e67-9b9b-b2919a40bc4c"/>
    <ds:schemaRef ds:uri="http://purl.org/dc/terms/"/>
    <ds:schemaRef ds:uri="http://schemas.openxmlformats.org/package/2006/metadata/core-properties"/>
    <ds:schemaRef ds:uri="a62b03c4-9264-4131-b102-1371a3299c6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952B1A-7F2F-494F-A373-95B07F3C6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b03c4-9264-4131-b102-1371a3299c6c"/>
    <ds:schemaRef ds:uri="ddc3fc12-b50a-4e67-9b9b-b2919a40b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20950b-168c-497a-9845-2b099844f3ef}" enabled="0" method="" siteId="{eb20950b-168c-497a-9845-2b099844f3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4695</Characters>
  <Application>Microsoft Office Word</Application>
  <DocSecurity>0</DocSecurity>
  <Lines>156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Finance</vt:lpstr>
    </vt:vector>
  </TitlesOfParts>
  <Company>Michael Baxter Communications, Inc.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Finance</dc:title>
  <dc:subject>Page 2</dc:subject>
  <dc:creator>Lee Thompson</dc:creator>
  <cp:lastModifiedBy>Ashley Shaw</cp:lastModifiedBy>
  <cp:revision>2</cp:revision>
  <dcterms:created xsi:type="dcterms:W3CDTF">2024-09-20T15:34:00Z</dcterms:created>
  <dcterms:modified xsi:type="dcterms:W3CDTF">2024-09-20T15:34:00Z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0x010100AB11ABA20A0E8D459C22EA2404EC930A</vt:lpwstr>
  </property>
  <property fmtid="{D5CDD505-2E9C-101B-9397-08002B2CF9AE}" pid="3" name="Modified By">
    <vt:lpwstr>i:0#.w|atlhq\bday</vt:lpwstr>
  </property>
  <property fmtid="{D5CDD505-2E9C-101B-9397-08002B2CF9AE}" pid="4" name="Created By">
    <vt:lpwstr>i:0#.w|atlhq\bday</vt:lpwstr>
  </property>
  <property fmtid="{D5CDD505-2E9C-101B-9397-08002B2CF9AE}" pid="5" name="FileLeafRef">
    <vt:lpwstr>SREB_WordTemplate_wGuidelines_092917.docx</vt:lpwstr>
  </property>
</Properties>
</file>