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062" w:rsidRPr="00597193" w:rsidRDefault="00842DDA" w:rsidP="00DD4888">
      <w:pPr>
        <w:pStyle w:val="DefaultText"/>
        <w:ind w:left="2304"/>
        <w:rPr>
          <w:rFonts w:ascii="AGaramond" w:hAnsi="AGaramond"/>
          <w:i/>
          <w:color w:val="FF0000"/>
          <w:sz w:val="72"/>
          <w:szCs w:val="40"/>
        </w:rPr>
      </w:pPr>
      <w:r>
        <w:rPr>
          <w:rFonts w:ascii="AGaramond" w:hAnsi="AGaramond"/>
          <w:i/>
          <w:noProof/>
          <w:color w:val="FF0000"/>
          <w:sz w:val="72"/>
          <w:szCs w:val="40"/>
        </w:rPr>
        <w:pict>
          <v:rect id="_x0000_s1100" style="position:absolute;left:0;text-align:left;margin-left:-43.2pt;margin-top:-1in;width:161.25pt;height:796.3pt;z-index:-251657729" fillcolor="#004138" strokecolor="#004138"/>
        </w:pict>
      </w:r>
    </w:p>
    <w:p w:rsidR="00597193" w:rsidRDefault="00597193" w:rsidP="00597193">
      <w:pPr>
        <w:pStyle w:val="DefaultText"/>
        <w:rPr>
          <w:rFonts w:ascii="AGaramond" w:hAnsi="AGaramond"/>
          <w:sz w:val="72"/>
          <w:szCs w:val="40"/>
        </w:rPr>
      </w:pPr>
    </w:p>
    <w:p w:rsidR="00273376" w:rsidRDefault="00273376" w:rsidP="00DD4888">
      <w:pPr>
        <w:pStyle w:val="DefaultText"/>
        <w:ind w:left="2304"/>
        <w:rPr>
          <w:rFonts w:ascii="AGaramond" w:hAnsi="AGaramond"/>
          <w:sz w:val="20"/>
        </w:rPr>
      </w:pPr>
    </w:p>
    <w:p w:rsidR="00E266E6" w:rsidRDefault="00E266E6" w:rsidP="00DD4888">
      <w:pPr>
        <w:pStyle w:val="DefaultText"/>
        <w:ind w:left="2304"/>
        <w:rPr>
          <w:rFonts w:ascii="AGaramond" w:hAnsi="AGaramond"/>
          <w:sz w:val="20"/>
        </w:rPr>
      </w:pPr>
    </w:p>
    <w:p w:rsidR="00E266E6" w:rsidRDefault="00E266E6" w:rsidP="00DD4888">
      <w:pPr>
        <w:pStyle w:val="DefaultText"/>
        <w:ind w:left="2304"/>
        <w:rPr>
          <w:rFonts w:ascii="AGaramond" w:hAnsi="AGaramond"/>
          <w:sz w:val="20"/>
        </w:rPr>
      </w:pPr>
    </w:p>
    <w:p w:rsidR="00E266E6" w:rsidRDefault="00E266E6" w:rsidP="00DD4888">
      <w:pPr>
        <w:pStyle w:val="DefaultText"/>
        <w:ind w:left="2304"/>
        <w:rPr>
          <w:rFonts w:ascii="AGaramond" w:hAnsi="AGaramond"/>
          <w:sz w:val="20"/>
        </w:rPr>
      </w:pPr>
    </w:p>
    <w:p w:rsidR="00B3017B" w:rsidRDefault="00B3017B" w:rsidP="00B3017B">
      <w:pPr>
        <w:pStyle w:val="DefaultText"/>
        <w:ind w:firstLine="0"/>
        <w:rPr>
          <w:rFonts w:ascii="AGaramond" w:hAnsi="AGaramond"/>
          <w:sz w:val="20"/>
        </w:rPr>
      </w:pPr>
    </w:p>
    <w:p w:rsidR="00BE3A09" w:rsidRPr="00C36913" w:rsidRDefault="00B3017B" w:rsidP="00B3017B">
      <w:pPr>
        <w:pStyle w:val="DefaultText"/>
        <w:ind w:left="-360" w:firstLine="0"/>
        <w:rPr>
          <w:sz w:val="72"/>
          <w:szCs w:val="40"/>
        </w:rPr>
      </w:pPr>
      <w:proofErr w:type="gramStart"/>
      <w:r w:rsidRPr="00C36913">
        <w:rPr>
          <w:noProof/>
          <w:color w:val="FFFFFF" w:themeColor="background1"/>
          <w:sz w:val="96"/>
          <w:szCs w:val="96"/>
        </w:rPr>
        <w:t>SREB</w:t>
      </w:r>
      <w:r>
        <w:rPr>
          <w:rFonts w:ascii="AGaramond" w:hAnsi="AGaramond"/>
          <w:color w:val="FFFFFF" w:themeColor="background1"/>
          <w:sz w:val="96"/>
          <w:szCs w:val="96"/>
        </w:rPr>
        <w:t xml:space="preserve">  </w:t>
      </w:r>
      <w:r w:rsidR="00DD4888" w:rsidRPr="00C36913">
        <w:rPr>
          <w:sz w:val="72"/>
          <w:szCs w:val="40"/>
        </w:rPr>
        <w:t>S</w:t>
      </w:r>
      <w:r w:rsidR="00BE3A09" w:rsidRPr="00C36913">
        <w:rPr>
          <w:sz w:val="72"/>
          <w:szCs w:val="40"/>
        </w:rPr>
        <w:t>tate</w:t>
      </w:r>
      <w:proofErr w:type="gramEnd"/>
      <w:r w:rsidR="00BE3A09" w:rsidRPr="00C36913">
        <w:rPr>
          <w:sz w:val="72"/>
          <w:szCs w:val="40"/>
        </w:rPr>
        <w:t xml:space="preserve"> Data Exchange</w:t>
      </w:r>
    </w:p>
    <w:p w:rsidR="00BE3A09" w:rsidRPr="00C36913" w:rsidRDefault="00CD1165" w:rsidP="001F508D">
      <w:pPr>
        <w:pStyle w:val="DefaultText"/>
        <w:ind w:left="2790" w:firstLine="0"/>
        <w:rPr>
          <w:i/>
          <w:sz w:val="28"/>
          <w:szCs w:val="24"/>
        </w:rPr>
      </w:pPr>
      <w:r w:rsidRPr="00C36913">
        <w:rPr>
          <w:i/>
          <w:sz w:val="28"/>
          <w:szCs w:val="24"/>
        </w:rPr>
        <w:t xml:space="preserve">   </w:t>
      </w:r>
      <w:r w:rsidR="00DD4888" w:rsidRPr="00C36913">
        <w:rPr>
          <w:i/>
          <w:sz w:val="28"/>
          <w:szCs w:val="24"/>
        </w:rPr>
        <w:t xml:space="preserve">   </w:t>
      </w:r>
      <w:r w:rsidR="00C36913">
        <w:rPr>
          <w:i/>
          <w:sz w:val="28"/>
          <w:szCs w:val="24"/>
        </w:rPr>
        <w:t xml:space="preserve">   </w:t>
      </w:r>
      <w:r w:rsidR="00497F1D" w:rsidRPr="00C36913">
        <w:rPr>
          <w:i/>
          <w:sz w:val="28"/>
          <w:szCs w:val="24"/>
        </w:rPr>
        <w:t>4</w:t>
      </w:r>
      <w:r w:rsidR="00C36913" w:rsidRPr="00C36913">
        <w:rPr>
          <w:i/>
          <w:sz w:val="28"/>
          <w:szCs w:val="24"/>
        </w:rPr>
        <w:t>3</w:t>
      </w:r>
      <w:r w:rsidR="00BE3A09" w:rsidRPr="00C36913">
        <w:rPr>
          <w:i/>
          <w:sz w:val="28"/>
          <w:szCs w:val="24"/>
        </w:rPr>
        <w:t xml:space="preserve"> </w:t>
      </w:r>
      <w:r w:rsidR="00E266E6" w:rsidRPr="00C36913">
        <w:rPr>
          <w:i/>
          <w:sz w:val="28"/>
          <w:szCs w:val="24"/>
        </w:rPr>
        <w:t>Y</w:t>
      </w:r>
      <w:r w:rsidR="00BE3A09" w:rsidRPr="00C36913">
        <w:rPr>
          <w:i/>
          <w:sz w:val="28"/>
          <w:szCs w:val="24"/>
        </w:rPr>
        <w:t xml:space="preserve">ears and </w:t>
      </w:r>
      <w:r w:rsidR="00E266E6" w:rsidRPr="00C36913">
        <w:rPr>
          <w:i/>
          <w:sz w:val="28"/>
          <w:szCs w:val="24"/>
        </w:rPr>
        <w:t>Still Counting</w:t>
      </w:r>
    </w:p>
    <w:p w:rsidR="00BE3A09" w:rsidRPr="00C36913" w:rsidRDefault="00BE3A09" w:rsidP="001F508D">
      <w:pPr>
        <w:pStyle w:val="DefaultText"/>
        <w:ind w:left="2790" w:firstLine="0"/>
        <w:rPr>
          <w:sz w:val="40"/>
          <w:szCs w:val="40"/>
        </w:rPr>
      </w:pPr>
    </w:p>
    <w:p w:rsidR="00BE3A09" w:rsidRPr="00C36913" w:rsidRDefault="00BE3A09" w:rsidP="001F508D">
      <w:pPr>
        <w:pStyle w:val="DefaultText"/>
        <w:ind w:left="2790" w:firstLine="0"/>
        <w:rPr>
          <w:sz w:val="40"/>
          <w:szCs w:val="40"/>
        </w:rPr>
      </w:pPr>
    </w:p>
    <w:p w:rsidR="00BE3A09" w:rsidRPr="00C36913" w:rsidRDefault="00BE3A09" w:rsidP="001F508D">
      <w:pPr>
        <w:pStyle w:val="DefaultText"/>
        <w:ind w:left="2790" w:firstLine="0"/>
        <w:rPr>
          <w:sz w:val="40"/>
          <w:szCs w:val="40"/>
        </w:rPr>
      </w:pPr>
    </w:p>
    <w:p w:rsidR="008575E0" w:rsidRPr="00C36913" w:rsidRDefault="008575E0" w:rsidP="001F508D">
      <w:pPr>
        <w:pStyle w:val="DefaultText"/>
        <w:ind w:left="2790" w:firstLine="0"/>
        <w:rPr>
          <w:sz w:val="40"/>
          <w:szCs w:val="40"/>
        </w:rPr>
      </w:pPr>
    </w:p>
    <w:p w:rsidR="008575E0" w:rsidRPr="00C36913" w:rsidRDefault="008575E0" w:rsidP="001F508D">
      <w:pPr>
        <w:pStyle w:val="DefaultText"/>
        <w:ind w:left="2790" w:firstLine="0"/>
        <w:rPr>
          <w:sz w:val="40"/>
          <w:szCs w:val="40"/>
        </w:rPr>
      </w:pPr>
    </w:p>
    <w:p w:rsidR="001F508D" w:rsidRPr="00C36913" w:rsidRDefault="001F508D" w:rsidP="001F508D">
      <w:pPr>
        <w:pStyle w:val="DefaultText"/>
        <w:ind w:left="2790" w:firstLine="0"/>
        <w:rPr>
          <w:sz w:val="40"/>
          <w:szCs w:val="40"/>
        </w:rPr>
      </w:pPr>
    </w:p>
    <w:p w:rsidR="00F95D34" w:rsidRPr="00C36913" w:rsidRDefault="00F95D34" w:rsidP="001F508D">
      <w:pPr>
        <w:pStyle w:val="DefaultText"/>
        <w:ind w:left="2790" w:firstLine="0"/>
        <w:rPr>
          <w:sz w:val="28"/>
          <w:szCs w:val="40"/>
        </w:rPr>
      </w:pPr>
    </w:p>
    <w:p w:rsidR="00F95D34" w:rsidRPr="00C36913" w:rsidRDefault="00F95D34" w:rsidP="001F508D">
      <w:pPr>
        <w:pStyle w:val="DefaultText"/>
        <w:ind w:left="2790" w:firstLine="0"/>
        <w:rPr>
          <w:sz w:val="32"/>
          <w:szCs w:val="32"/>
        </w:rPr>
      </w:pPr>
    </w:p>
    <w:p w:rsidR="003F6030" w:rsidRPr="00B3017B" w:rsidRDefault="00273376" w:rsidP="001F508D">
      <w:pPr>
        <w:pStyle w:val="DefaultText"/>
        <w:ind w:left="2790" w:firstLine="0"/>
        <w:rPr>
          <w:rFonts w:ascii="AGaramond Bold" w:hAnsi="AGaramond Bold"/>
          <w:b/>
          <w:sz w:val="48"/>
          <w:szCs w:val="48"/>
        </w:rPr>
      </w:pPr>
      <w:r w:rsidRPr="00C36913">
        <w:rPr>
          <w:sz w:val="32"/>
          <w:szCs w:val="32"/>
        </w:rPr>
        <w:t xml:space="preserve">     </w:t>
      </w:r>
      <w:r w:rsidR="00BE3A09" w:rsidRPr="00C36913">
        <w:rPr>
          <w:b/>
          <w:sz w:val="48"/>
          <w:szCs w:val="48"/>
        </w:rPr>
        <w:t>Surve</w:t>
      </w:r>
      <w:r w:rsidR="001F508D" w:rsidRPr="00C36913">
        <w:rPr>
          <w:b/>
          <w:sz w:val="48"/>
          <w:szCs w:val="48"/>
        </w:rPr>
        <w:t>y Guide</w:t>
      </w:r>
      <w:r w:rsidR="00CD1165" w:rsidRPr="00C36913">
        <w:rPr>
          <w:b/>
          <w:sz w:val="48"/>
          <w:szCs w:val="48"/>
        </w:rPr>
        <w:t>,</w:t>
      </w:r>
      <w:r w:rsidR="001F508D" w:rsidRPr="00C36913">
        <w:rPr>
          <w:b/>
          <w:sz w:val="48"/>
          <w:szCs w:val="48"/>
        </w:rPr>
        <w:t xml:space="preserve"> 20</w:t>
      </w:r>
      <w:r w:rsidR="002125D7" w:rsidRPr="00C36913">
        <w:rPr>
          <w:b/>
          <w:sz w:val="48"/>
          <w:szCs w:val="48"/>
        </w:rPr>
        <w:t>1</w:t>
      </w:r>
      <w:r w:rsidR="00C36913" w:rsidRPr="00C36913">
        <w:rPr>
          <w:b/>
          <w:sz w:val="48"/>
          <w:szCs w:val="48"/>
        </w:rPr>
        <w:t>1</w:t>
      </w:r>
      <w:r w:rsidR="00497F1D" w:rsidRPr="00C36913">
        <w:rPr>
          <w:b/>
          <w:sz w:val="48"/>
          <w:szCs w:val="48"/>
        </w:rPr>
        <w:t>-</w:t>
      </w:r>
      <w:r w:rsidR="00A636AE" w:rsidRPr="00C36913">
        <w:rPr>
          <w:b/>
          <w:sz w:val="48"/>
          <w:szCs w:val="48"/>
        </w:rPr>
        <w:t>1</w:t>
      </w:r>
      <w:r w:rsidR="00C36913" w:rsidRPr="00C36913">
        <w:rPr>
          <w:b/>
          <w:sz w:val="48"/>
          <w:szCs w:val="48"/>
        </w:rPr>
        <w:t>2</w:t>
      </w:r>
      <w:r w:rsidR="001F508D" w:rsidRPr="00B3017B">
        <w:rPr>
          <w:rFonts w:ascii="AGaramond" w:hAnsi="AGaramond"/>
          <w:b/>
          <w:sz w:val="48"/>
          <w:szCs w:val="48"/>
        </w:rPr>
        <w:t xml:space="preserve"> </w:t>
      </w:r>
      <w:r w:rsidR="00BE3A09" w:rsidRPr="00B3017B">
        <w:rPr>
          <w:rFonts w:ascii="AGaramond Bold" w:hAnsi="AGaramond Bold"/>
          <w:b/>
          <w:sz w:val="48"/>
          <w:szCs w:val="48"/>
        </w:rPr>
        <w:br w:type="page"/>
      </w:r>
    </w:p>
    <w:p w:rsidR="003F6030" w:rsidRPr="00B3017B" w:rsidRDefault="00116F20" w:rsidP="00B3017B">
      <w:pPr>
        <w:pStyle w:val="DefaultText"/>
        <w:ind w:firstLine="0"/>
        <w:jc w:val="center"/>
        <w:rPr>
          <w:b/>
          <w:sz w:val="30"/>
          <w:szCs w:val="30"/>
        </w:rPr>
      </w:pPr>
      <w:r w:rsidRPr="00B3017B">
        <w:rPr>
          <w:b/>
          <w:sz w:val="30"/>
          <w:szCs w:val="30"/>
        </w:rPr>
        <w:lastRenderedPageBreak/>
        <w:t>20</w:t>
      </w:r>
      <w:r w:rsidR="002125D7" w:rsidRPr="00B3017B">
        <w:rPr>
          <w:b/>
          <w:sz w:val="30"/>
          <w:szCs w:val="30"/>
        </w:rPr>
        <w:t>1</w:t>
      </w:r>
      <w:r w:rsidR="00C36913">
        <w:rPr>
          <w:b/>
          <w:sz w:val="30"/>
          <w:szCs w:val="30"/>
        </w:rPr>
        <w:t>1</w:t>
      </w:r>
      <w:r w:rsidR="00497F1D" w:rsidRPr="00B3017B">
        <w:rPr>
          <w:b/>
          <w:sz w:val="30"/>
          <w:szCs w:val="30"/>
        </w:rPr>
        <w:t>-</w:t>
      </w:r>
      <w:r w:rsidR="00A636AE" w:rsidRPr="00B3017B">
        <w:rPr>
          <w:b/>
          <w:sz w:val="30"/>
          <w:szCs w:val="30"/>
        </w:rPr>
        <w:t>1</w:t>
      </w:r>
      <w:r w:rsidR="00C36913">
        <w:rPr>
          <w:b/>
          <w:sz w:val="30"/>
          <w:szCs w:val="30"/>
        </w:rPr>
        <w:t>2</w:t>
      </w:r>
      <w:r w:rsidR="003F6030" w:rsidRPr="00B3017B">
        <w:rPr>
          <w:b/>
          <w:sz w:val="30"/>
          <w:szCs w:val="30"/>
        </w:rPr>
        <w:t xml:space="preserve"> Survey Guide</w:t>
      </w:r>
    </w:p>
    <w:p w:rsidR="003F6030" w:rsidRPr="005C3EE7" w:rsidRDefault="003F6030" w:rsidP="008F296C">
      <w:pPr>
        <w:pStyle w:val="BodySingle"/>
        <w:ind w:firstLine="0"/>
        <w:jc w:val="center"/>
        <w:rPr>
          <w:sz w:val="20"/>
        </w:rPr>
      </w:pPr>
    </w:p>
    <w:p w:rsidR="007705B9" w:rsidRDefault="007705B9" w:rsidP="008F296C">
      <w:pPr>
        <w:pStyle w:val="BodySingle"/>
        <w:ind w:firstLine="0"/>
        <w:outlineLvl w:val="0"/>
        <w:rPr>
          <w:b/>
          <w:szCs w:val="24"/>
        </w:rPr>
      </w:pPr>
    </w:p>
    <w:p w:rsidR="007705B9" w:rsidRDefault="007705B9" w:rsidP="008F296C">
      <w:pPr>
        <w:pStyle w:val="BodySingle"/>
        <w:ind w:firstLine="0"/>
        <w:outlineLvl w:val="0"/>
        <w:rPr>
          <w:b/>
          <w:szCs w:val="24"/>
        </w:rPr>
      </w:pPr>
    </w:p>
    <w:p w:rsidR="007705B9" w:rsidRDefault="007705B9" w:rsidP="008F296C">
      <w:pPr>
        <w:pStyle w:val="BodySingle"/>
        <w:ind w:firstLine="0"/>
        <w:outlineLvl w:val="0"/>
        <w:rPr>
          <w:b/>
          <w:szCs w:val="24"/>
        </w:rPr>
      </w:pPr>
    </w:p>
    <w:p w:rsidR="007705B9" w:rsidRDefault="007705B9" w:rsidP="008F296C">
      <w:pPr>
        <w:pStyle w:val="BodySingle"/>
        <w:ind w:firstLine="0"/>
        <w:outlineLvl w:val="0"/>
        <w:rPr>
          <w:b/>
          <w:szCs w:val="24"/>
        </w:rPr>
      </w:pPr>
    </w:p>
    <w:p w:rsidR="003F6030" w:rsidRPr="00C36913" w:rsidRDefault="003F6030" w:rsidP="00185E14">
      <w:pPr>
        <w:pStyle w:val="BodySingle"/>
        <w:ind w:firstLine="0"/>
        <w:jc w:val="center"/>
        <w:outlineLvl w:val="0"/>
        <w:rPr>
          <w:b/>
          <w:szCs w:val="24"/>
        </w:rPr>
      </w:pPr>
      <w:r w:rsidRPr="00C36913">
        <w:rPr>
          <w:b/>
          <w:szCs w:val="24"/>
        </w:rPr>
        <w:t>Introduction</w:t>
      </w:r>
    </w:p>
    <w:p w:rsidR="003F6030" w:rsidRPr="00C42008" w:rsidRDefault="003F6030">
      <w:pPr>
        <w:pStyle w:val="DefaultText"/>
        <w:rPr>
          <w:szCs w:val="24"/>
        </w:rPr>
      </w:pPr>
    </w:p>
    <w:p w:rsidR="007D7F46" w:rsidRPr="00C42008" w:rsidRDefault="003F6030" w:rsidP="00116F20">
      <w:pPr>
        <w:pStyle w:val="DefaultText"/>
        <w:spacing w:after="120"/>
        <w:rPr>
          <w:szCs w:val="24"/>
        </w:rPr>
      </w:pPr>
      <w:r w:rsidRPr="00C42008">
        <w:rPr>
          <w:szCs w:val="24"/>
        </w:rPr>
        <w:t>This</w:t>
      </w:r>
      <w:r w:rsidRPr="00C42008">
        <w:rPr>
          <w:i/>
          <w:szCs w:val="24"/>
        </w:rPr>
        <w:t xml:space="preserve"> Survey Guide</w:t>
      </w:r>
      <w:r w:rsidRPr="00C42008">
        <w:rPr>
          <w:szCs w:val="24"/>
        </w:rPr>
        <w:t xml:space="preserve"> contains all the instructions, definitions and guidelines for the SREB-State Data Exchange Survey </w:t>
      </w:r>
      <w:r w:rsidR="00E40B6A" w:rsidRPr="00C42008">
        <w:rPr>
          <w:szCs w:val="24"/>
        </w:rPr>
        <w:t>20</w:t>
      </w:r>
      <w:r w:rsidR="007D7F46">
        <w:rPr>
          <w:szCs w:val="24"/>
        </w:rPr>
        <w:t>1</w:t>
      </w:r>
      <w:r w:rsidR="00C36913">
        <w:rPr>
          <w:szCs w:val="24"/>
        </w:rPr>
        <w:t>1</w:t>
      </w:r>
      <w:r w:rsidR="00497F1D" w:rsidRPr="00C42008">
        <w:rPr>
          <w:szCs w:val="24"/>
        </w:rPr>
        <w:t>-</w:t>
      </w:r>
      <w:r w:rsidR="00A636AE" w:rsidRPr="00C42008">
        <w:rPr>
          <w:szCs w:val="24"/>
        </w:rPr>
        <w:t>1</w:t>
      </w:r>
      <w:r w:rsidR="00C36913">
        <w:rPr>
          <w:szCs w:val="24"/>
        </w:rPr>
        <w:t>2</w:t>
      </w:r>
      <w:r w:rsidRPr="00C42008">
        <w:rPr>
          <w:szCs w:val="24"/>
        </w:rPr>
        <w:t>.</w:t>
      </w:r>
      <w:r w:rsidR="0045383F" w:rsidRPr="00C42008">
        <w:rPr>
          <w:szCs w:val="24"/>
        </w:rPr>
        <w:t xml:space="preserve"> </w:t>
      </w:r>
      <w:r w:rsidRPr="00C42008">
        <w:rPr>
          <w:szCs w:val="24"/>
        </w:rPr>
        <w:t>All data are to be entered into the</w:t>
      </w:r>
      <w:r w:rsidRPr="00C42008">
        <w:rPr>
          <w:i/>
          <w:szCs w:val="24"/>
        </w:rPr>
        <w:t xml:space="preserve"> </w:t>
      </w:r>
      <w:r w:rsidRPr="00C42008">
        <w:rPr>
          <w:szCs w:val="24"/>
        </w:rPr>
        <w:t>spreadsheet template</w:t>
      </w:r>
      <w:r w:rsidR="00116F20" w:rsidRPr="00C42008">
        <w:rPr>
          <w:szCs w:val="24"/>
        </w:rPr>
        <w:t>s</w:t>
      </w:r>
      <w:r w:rsidRPr="00C42008">
        <w:rPr>
          <w:szCs w:val="24"/>
        </w:rPr>
        <w:t xml:space="preserve"> provided. When </w:t>
      </w:r>
      <w:r w:rsidR="00AA5DFF" w:rsidRPr="00C42008">
        <w:rPr>
          <w:szCs w:val="24"/>
        </w:rPr>
        <w:t xml:space="preserve">the templates are </w:t>
      </w:r>
      <w:r w:rsidRPr="00C42008">
        <w:rPr>
          <w:szCs w:val="24"/>
        </w:rPr>
        <w:t xml:space="preserve">completed, </w:t>
      </w:r>
      <w:r w:rsidR="00AA5DFF" w:rsidRPr="00C42008">
        <w:rPr>
          <w:szCs w:val="24"/>
        </w:rPr>
        <w:t>p</w:t>
      </w:r>
      <w:r w:rsidR="003A2606" w:rsidRPr="00C42008">
        <w:rPr>
          <w:szCs w:val="24"/>
        </w:rPr>
        <w:t>lease</w:t>
      </w:r>
      <w:r w:rsidRPr="00C42008">
        <w:rPr>
          <w:szCs w:val="24"/>
        </w:rPr>
        <w:t xml:space="preserve"> return the</w:t>
      </w:r>
      <w:r w:rsidR="00AA5DFF" w:rsidRPr="00C42008">
        <w:rPr>
          <w:szCs w:val="24"/>
        </w:rPr>
        <w:t>m</w:t>
      </w:r>
      <w:r w:rsidR="00116F20" w:rsidRPr="00C42008">
        <w:rPr>
          <w:szCs w:val="24"/>
        </w:rPr>
        <w:t xml:space="preserve"> </w:t>
      </w:r>
      <w:r w:rsidRPr="00C42008">
        <w:rPr>
          <w:szCs w:val="24"/>
        </w:rPr>
        <w:t>by e-mail</w:t>
      </w:r>
      <w:r w:rsidR="00AA5DFF" w:rsidRPr="00C42008">
        <w:rPr>
          <w:szCs w:val="24"/>
        </w:rPr>
        <w:t xml:space="preserve"> to </w:t>
      </w:r>
      <w:hyperlink r:id="rId7" w:history="1">
        <w:r w:rsidR="00B9094D" w:rsidRPr="00C42008">
          <w:rPr>
            <w:rStyle w:val="Hyperlink"/>
            <w:szCs w:val="24"/>
          </w:rPr>
          <w:t>joe.marks@sreb.org</w:t>
        </w:r>
      </w:hyperlink>
      <w:r w:rsidR="00C36913">
        <w:t>.</w:t>
      </w:r>
      <w:r w:rsidR="00C36913" w:rsidRPr="00C42008">
        <w:rPr>
          <w:szCs w:val="24"/>
        </w:rPr>
        <w:t xml:space="preserve"> </w:t>
      </w:r>
    </w:p>
    <w:p w:rsidR="002D4773" w:rsidRDefault="002D4773" w:rsidP="002D4773">
      <w:pPr>
        <w:pStyle w:val="DefaultText"/>
        <w:spacing w:after="120"/>
        <w:rPr>
          <w:szCs w:val="24"/>
          <w:u w:val="single"/>
        </w:rPr>
      </w:pPr>
      <w:r w:rsidRPr="00C42008">
        <w:rPr>
          <w:szCs w:val="24"/>
          <w:u w:val="single"/>
        </w:rPr>
        <w:t>General Tips and Instructions</w:t>
      </w:r>
      <w:r w:rsidRPr="00C42008">
        <w:rPr>
          <w:szCs w:val="24"/>
        </w:rPr>
        <w:t xml:space="preserve">: To move between parts of the survey, click on the colored section tabs at the bottom of the screen. Shaded areas are calculated fields; please don’t enter data there. For </w:t>
      </w:r>
      <w:r w:rsidRPr="00C42008">
        <w:rPr>
          <w:szCs w:val="24"/>
          <w:u w:val="single"/>
        </w:rPr>
        <w:t>surveys involving four-year colleges or two-year colleges with bachelor’s degrees, complete Part 1 on degrees and certificates as soon as possible and submit it to SREB</w:t>
      </w:r>
      <w:r w:rsidRPr="00C42008">
        <w:rPr>
          <w:szCs w:val="24"/>
        </w:rPr>
        <w:t xml:space="preserve">. This allows us to determine the proper category for each institution. For </w:t>
      </w:r>
      <w:r w:rsidRPr="00C42008">
        <w:rPr>
          <w:szCs w:val="24"/>
          <w:u w:val="single"/>
        </w:rPr>
        <w:t xml:space="preserve">surveys covering all two-year colleges or technical institutes or colleges, complete Part 1 on degrees and certificates </w:t>
      </w:r>
      <w:r w:rsidRPr="00C42008">
        <w:rPr>
          <w:i/>
          <w:iCs/>
          <w:szCs w:val="24"/>
          <w:u w:val="single"/>
        </w:rPr>
        <w:t xml:space="preserve">and </w:t>
      </w:r>
      <w:r w:rsidRPr="00C42008">
        <w:rPr>
          <w:szCs w:val="24"/>
          <w:u w:val="single"/>
        </w:rPr>
        <w:t>Part 4 on credit/contact hours as soon as possible and submit them to SREB, for the same reason</w:t>
      </w:r>
      <w:r w:rsidRPr="00C42008">
        <w:rPr>
          <w:szCs w:val="24"/>
        </w:rPr>
        <w:t xml:space="preserve">. </w:t>
      </w:r>
      <w:r w:rsidRPr="00C42008">
        <w:rPr>
          <w:szCs w:val="24"/>
          <w:u w:val="single"/>
        </w:rPr>
        <w:t xml:space="preserve">Only those institutions meeting the criteria for a different category for the </w:t>
      </w:r>
      <w:r w:rsidRPr="00C42008">
        <w:rPr>
          <w:i/>
          <w:szCs w:val="24"/>
          <w:u w:val="single"/>
        </w:rPr>
        <w:t>third consecutive time</w:t>
      </w:r>
      <w:r w:rsidRPr="00C42008">
        <w:rPr>
          <w:szCs w:val="24"/>
          <w:u w:val="single"/>
        </w:rPr>
        <w:t xml:space="preserve"> will be changed to a new category. </w:t>
      </w:r>
    </w:p>
    <w:p w:rsidR="003F6030" w:rsidRPr="00735DF7" w:rsidRDefault="007C7043" w:rsidP="00735DF7">
      <w:pPr>
        <w:pStyle w:val="DefaultText"/>
        <w:spacing w:after="120"/>
        <w:ind w:right="-108"/>
        <w:rPr>
          <w:szCs w:val="24"/>
          <w:u w:val="single"/>
        </w:rPr>
      </w:pPr>
      <w:r w:rsidRPr="00C42008">
        <w:rPr>
          <w:szCs w:val="24"/>
        </w:rPr>
        <w:t>Do not edit i</w:t>
      </w:r>
      <w:r w:rsidR="003F6030" w:rsidRPr="00C42008">
        <w:rPr>
          <w:szCs w:val="24"/>
        </w:rPr>
        <w:t>nstitution names listed in Part 1. Instead, please note name changes, mergers, etc., at the bottom of the list or by attaching a comment to the cell containing the curre</w:t>
      </w:r>
      <w:r w:rsidR="00E5378E" w:rsidRPr="00C42008">
        <w:rPr>
          <w:szCs w:val="24"/>
        </w:rPr>
        <w:t xml:space="preserve">nt name of the institution. </w:t>
      </w:r>
      <w:r w:rsidR="00E5378E" w:rsidRPr="00C42008">
        <w:rPr>
          <w:szCs w:val="24"/>
          <w:u w:val="single"/>
        </w:rPr>
        <w:t>After</w:t>
      </w:r>
      <w:r w:rsidR="003F6030" w:rsidRPr="00C42008">
        <w:rPr>
          <w:szCs w:val="24"/>
        </w:rPr>
        <w:t xml:space="preserve"> </w:t>
      </w:r>
      <w:r w:rsidR="00027727" w:rsidRPr="00C42008">
        <w:rPr>
          <w:szCs w:val="24"/>
        </w:rPr>
        <w:t>SREB confirm</w:t>
      </w:r>
      <w:r w:rsidR="00A83823" w:rsidRPr="00C42008">
        <w:rPr>
          <w:szCs w:val="24"/>
        </w:rPr>
        <w:t xml:space="preserve">s </w:t>
      </w:r>
      <w:r w:rsidR="00B50AB2" w:rsidRPr="00C42008">
        <w:rPr>
          <w:szCs w:val="24"/>
        </w:rPr>
        <w:t>the institutional classifications,</w:t>
      </w:r>
      <w:r w:rsidR="00E5378E" w:rsidRPr="00C42008">
        <w:rPr>
          <w:szCs w:val="24"/>
        </w:rPr>
        <w:t xml:space="preserve"> </w:t>
      </w:r>
      <w:r w:rsidR="003F6030" w:rsidRPr="00C42008">
        <w:rPr>
          <w:szCs w:val="24"/>
        </w:rPr>
        <w:t xml:space="preserve">use the new </w:t>
      </w:r>
      <w:r w:rsidR="00CC58F6" w:rsidRPr="00C42008">
        <w:rPr>
          <w:szCs w:val="24"/>
        </w:rPr>
        <w:t>classifications</w:t>
      </w:r>
      <w:r w:rsidR="00435BE0" w:rsidRPr="00C42008">
        <w:rPr>
          <w:szCs w:val="24"/>
        </w:rPr>
        <w:t xml:space="preserve"> and institution names</w:t>
      </w:r>
      <w:r w:rsidR="003F6030" w:rsidRPr="00C42008">
        <w:rPr>
          <w:szCs w:val="24"/>
        </w:rPr>
        <w:t xml:space="preserve"> </w:t>
      </w:r>
      <w:r w:rsidR="00A636AE" w:rsidRPr="00C42008">
        <w:rPr>
          <w:szCs w:val="24"/>
        </w:rPr>
        <w:t xml:space="preserve">from Parts 1 </w:t>
      </w:r>
      <w:r w:rsidR="00435BE0" w:rsidRPr="00C42008">
        <w:rPr>
          <w:szCs w:val="24"/>
        </w:rPr>
        <w:t>and/</w:t>
      </w:r>
      <w:r w:rsidR="00A636AE" w:rsidRPr="00C42008">
        <w:rPr>
          <w:szCs w:val="24"/>
        </w:rPr>
        <w:t xml:space="preserve">or 4 </w:t>
      </w:r>
      <w:r w:rsidR="003F6030" w:rsidRPr="00C42008">
        <w:rPr>
          <w:szCs w:val="24"/>
        </w:rPr>
        <w:t xml:space="preserve">to revise the </w:t>
      </w:r>
      <w:r w:rsidR="00CC58F6" w:rsidRPr="00C42008">
        <w:rPr>
          <w:szCs w:val="24"/>
        </w:rPr>
        <w:t>classifications</w:t>
      </w:r>
      <w:r w:rsidR="00435BE0" w:rsidRPr="00C42008">
        <w:rPr>
          <w:szCs w:val="24"/>
        </w:rPr>
        <w:t xml:space="preserve"> and institution names</w:t>
      </w:r>
      <w:r w:rsidR="003F6030" w:rsidRPr="00C42008">
        <w:rPr>
          <w:szCs w:val="24"/>
        </w:rPr>
        <w:t xml:space="preserve"> in th</w:t>
      </w:r>
      <w:r w:rsidR="00E5378E" w:rsidRPr="00C42008">
        <w:rPr>
          <w:szCs w:val="24"/>
        </w:rPr>
        <w:t>e remaining parts of the survey</w:t>
      </w:r>
      <w:r w:rsidR="00AB3C18" w:rsidRPr="00C42008">
        <w:rPr>
          <w:szCs w:val="24"/>
        </w:rPr>
        <w:t>,</w:t>
      </w:r>
      <w:r w:rsidR="003F6030" w:rsidRPr="00C42008">
        <w:rPr>
          <w:szCs w:val="24"/>
        </w:rPr>
        <w:t xml:space="preserve"> as necessary.</w:t>
      </w:r>
      <w:r w:rsidR="00383D65" w:rsidRPr="00C42008">
        <w:rPr>
          <w:szCs w:val="24"/>
        </w:rPr>
        <w:t xml:space="preserve"> </w:t>
      </w:r>
      <w:r w:rsidR="00735DF7" w:rsidRPr="00735DF7">
        <w:rPr>
          <w:szCs w:val="24"/>
          <w:u w:val="single"/>
        </w:rPr>
        <w:t>Please c</w:t>
      </w:r>
      <w:r w:rsidR="000D5AC4" w:rsidRPr="00735DF7">
        <w:rPr>
          <w:szCs w:val="24"/>
          <w:u w:val="single"/>
        </w:rPr>
        <w:t>omplete these steps before passing along the templates to other staff</w:t>
      </w:r>
      <w:r w:rsidR="00735DF7" w:rsidRPr="00735DF7">
        <w:rPr>
          <w:szCs w:val="24"/>
          <w:u w:val="single"/>
        </w:rPr>
        <w:t xml:space="preserve"> completing other sections</w:t>
      </w:r>
      <w:r w:rsidR="000D5AC4" w:rsidRPr="00735DF7">
        <w:rPr>
          <w:szCs w:val="24"/>
        </w:rPr>
        <w:t xml:space="preserve">. </w:t>
      </w:r>
      <w:r w:rsidR="003F6030" w:rsidRPr="00735DF7">
        <w:rPr>
          <w:szCs w:val="24"/>
        </w:rPr>
        <w:t xml:space="preserve">If </w:t>
      </w:r>
      <w:r w:rsidR="002A2759" w:rsidRPr="00735DF7">
        <w:rPr>
          <w:szCs w:val="24"/>
        </w:rPr>
        <w:t xml:space="preserve">additions or </w:t>
      </w:r>
      <w:r w:rsidR="003F6030" w:rsidRPr="00735DF7">
        <w:rPr>
          <w:szCs w:val="24"/>
        </w:rPr>
        <w:t xml:space="preserve">changes are made to the data for the </w:t>
      </w:r>
      <w:r w:rsidR="00116F20" w:rsidRPr="00735DF7">
        <w:rPr>
          <w:szCs w:val="24"/>
        </w:rPr>
        <w:t xml:space="preserve">prior </w:t>
      </w:r>
      <w:r w:rsidR="003F6030" w:rsidRPr="00735DF7">
        <w:rPr>
          <w:szCs w:val="24"/>
        </w:rPr>
        <w:t>year</w:t>
      </w:r>
      <w:r w:rsidR="00F80FFF" w:rsidRPr="00735DF7">
        <w:rPr>
          <w:szCs w:val="24"/>
        </w:rPr>
        <w:t>(s)</w:t>
      </w:r>
      <w:r w:rsidR="003F6030" w:rsidRPr="00735DF7">
        <w:rPr>
          <w:szCs w:val="24"/>
        </w:rPr>
        <w:t xml:space="preserve">, </w:t>
      </w:r>
      <w:r w:rsidR="00827DD3" w:rsidRPr="00735DF7">
        <w:rPr>
          <w:szCs w:val="24"/>
          <w:u w:val="single"/>
        </w:rPr>
        <w:t>please</w:t>
      </w:r>
      <w:r w:rsidR="00A636AE" w:rsidRPr="00735DF7">
        <w:rPr>
          <w:szCs w:val="24"/>
          <w:u w:val="single"/>
        </w:rPr>
        <w:t xml:space="preserve"> </w:t>
      </w:r>
      <w:r w:rsidR="001F1348" w:rsidRPr="00735DF7">
        <w:rPr>
          <w:szCs w:val="24"/>
          <w:u w:val="single"/>
        </w:rPr>
        <w:t>highlight</w:t>
      </w:r>
      <w:r w:rsidR="00A636AE" w:rsidRPr="00735DF7">
        <w:rPr>
          <w:szCs w:val="24"/>
          <w:u w:val="single"/>
        </w:rPr>
        <w:t xml:space="preserve"> </w:t>
      </w:r>
      <w:r w:rsidR="002A2759" w:rsidRPr="00735DF7">
        <w:rPr>
          <w:szCs w:val="24"/>
          <w:u w:val="single"/>
        </w:rPr>
        <w:t xml:space="preserve">these additions or </w:t>
      </w:r>
      <w:r w:rsidR="003F6030" w:rsidRPr="00735DF7">
        <w:rPr>
          <w:szCs w:val="24"/>
          <w:u w:val="single"/>
        </w:rPr>
        <w:t>changes</w:t>
      </w:r>
      <w:r w:rsidRPr="00735DF7">
        <w:rPr>
          <w:szCs w:val="24"/>
          <w:u w:val="single"/>
        </w:rPr>
        <w:t xml:space="preserve"> with a yellow background</w:t>
      </w:r>
      <w:r w:rsidR="003F6030" w:rsidRPr="00735DF7">
        <w:rPr>
          <w:szCs w:val="24"/>
          <w:u w:val="single"/>
        </w:rPr>
        <w:t>.</w:t>
      </w:r>
    </w:p>
    <w:p w:rsidR="00B9094D" w:rsidRDefault="00B9094D" w:rsidP="00545D9F">
      <w:pPr>
        <w:pStyle w:val="DefaultText"/>
        <w:spacing w:before="120"/>
        <w:ind w:firstLine="0"/>
        <w:jc w:val="center"/>
        <w:outlineLvl w:val="0"/>
        <w:rPr>
          <w:b/>
          <w:bCs/>
          <w:szCs w:val="24"/>
        </w:rPr>
      </w:pPr>
    </w:p>
    <w:p w:rsidR="003F6030" w:rsidRPr="00C42008" w:rsidRDefault="003F6030" w:rsidP="00545D9F">
      <w:pPr>
        <w:pStyle w:val="DefaultText"/>
        <w:spacing w:before="120"/>
        <w:ind w:firstLine="0"/>
        <w:jc w:val="center"/>
        <w:outlineLvl w:val="0"/>
        <w:rPr>
          <w:b/>
          <w:bCs/>
          <w:szCs w:val="24"/>
        </w:rPr>
      </w:pPr>
      <w:r w:rsidRPr="00C42008">
        <w:rPr>
          <w:b/>
          <w:bCs/>
          <w:szCs w:val="24"/>
        </w:rPr>
        <w:t>Please return Part</w:t>
      </w:r>
      <w:r w:rsidR="00B01E11" w:rsidRPr="00C42008">
        <w:rPr>
          <w:b/>
          <w:bCs/>
          <w:szCs w:val="24"/>
        </w:rPr>
        <w:t>s</w:t>
      </w:r>
      <w:r w:rsidRPr="00C42008">
        <w:rPr>
          <w:b/>
          <w:bCs/>
          <w:szCs w:val="24"/>
        </w:rPr>
        <w:t xml:space="preserve"> 1</w:t>
      </w:r>
      <w:r w:rsidR="00545D9F" w:rsidRPr="00C42008">
        <w:rPr>
          <w:b/>
          <w:bCs/>
          <w:szCs w:val="24"/>
        </w:rPr>
        <w:t xml:space="preserve"> and</w:t>
      </w:r>
      <w:r w:rsidR="00B01E11" w:rsidRPr="00C42008">
        <w:rPr>
          <w:b/>
          <w:bCs/>
          <w:szCs w:val="24"/>
        </w:rPr>
        <w:t xml:space="preserve"> </w:t>
      </w:r>
      <w:r w:rsidR="005C3EE7" w:rsidRPr="00C42008">
        <w:rPr>
          <w:b/>
          <w:bCs/>
          <w:szCs w:val="24"/>
        </w:rPr>
        <w:t>4</w:t>
      </w:r>
      <w:r w:rsidR="00545D9F" w:rsidRPr="00C42008">
        <w:rPr>
          <w:b/>
          <w:bCs/>
          <w:szCs w:val="24"/>
        </w:rPr>
        <w:t xml:space="preserve"> </w:t>
      </w:r>
      <w:r w:rsidRPr="00C42008">
        <w:rPr>
          <w:b/>
          <w:bCs/>
          <w:szCs w:val="24"/>
        </w:rPr>
        <w:t>as soon as possible</w:t>
      </w:r>
      <w:r w:rsidR="000165F8" w:rsidRPr="00C42008">
        <w:rPr>
          <w:b/>
          <w:bCs/>
          <w:szCs w:val="24"/>
        </w:rPr>
        <w:t>;</w:t>
      </w:r>
    </w:p>
    <w:p w:rsidR="003F6030" w:rsidRPr="00C42008" w:rsidRDefault="00613167" w:rsidP="000B535A">
      <w:pPr>
        <w:pStyle w:val="DefaultText"/>
        <w:ind w:firstLine="0"/>
        <w:jc w:val="center"/>
        <w:outlineLvl w:val="0"/>
        <w:rPr>
          <w:b/>
          <w:bCs/>
          <w:szCs w:val="24"/>
        </w:rPr>
      </w:pPr>
      <w:r w:rsidRPr="00C42008">
        <w:rPr>
          <w:b/>
          <w:bCs/>
          <w:szCs w:val="24"/>
        </w:rPr>
        <w:t>Parts</w:t>
      </w:r>
      <w:r w:rsidR="003F6030" w:rsidRPr="00C42008">
        <w:rPr>
          <w:b/>
          <w:bCs/>
          <w:szCs w:val="24"/>
        </w:rPr>
        <w:t xml:space="preserve"> </w:t>
      </w:r>
      <w:r w:rsidR="005C3EE7" w:rsidRPr="00C42008">
        <w:rPr>
          <w:b/>
          <w:bCs/>
          <w:szCs w:val="24"/>
        </w:rPr>
        <w:t>3 and 5</w:t>
      </w:r>
      <w:r w:rsidR="00116F20" w:rsidRPr="00C42008">
        <w:rPr>
          <w:b/>
          <w:bCs/>
          <w:szCs w:val="24"/>
        </w:rPr>
        <w:t xml:space="preserve"> </w:t>
      </w:r>
      <w:r w:rsidR="003F6030" w:rsidRPr="00C42008">
        <w:rPr>
          <w:b/>
          <w:bCs/>
          <w:szCs w:val="24"/>
        </w:rPr>
        <w:t xml:space="preserve">through </w:t>
      </w:r>
      <w:r w:rsidR="00C36913">
        <w:rPr>
          <w:b/>
          <w:bCs/>
          <w:szCs w:val="24"/>
        </w:rPr>
        <w:t>9</w:t>
      </w:r>
      <w:r w:rsidR="003F6030" w:rsidRPr="00C42008">
        <w:rPr>
          <w:b/>
          <w:bCs/>
          <w:szCs w:val="24"/>
        </w:rPr>
        <w:t xml:space="preserve"> are due </w:t>
      </w:r>
      <w:r w:rsidR="00656464" w:rsidRPr="00C42008">
        <w:rPr>
          <w:b/>
          <w:bCs/>
          <w:szCs w:val="24"/>
        </w:rPr>
        <w:t>April</w:t>
      </w:r>
      <w:r w:rsidR="003F6030" w:rsidRPr="00C42008">
        <w:rPr>
          <w:b/>
          <w:bCs/>
          <w:szCs w:val="24"/>
        </w:rPr>
        <w:t xml:space="preserve"> </w:t>
      </w:r>
      <w:r w:rsidR="00735DF7">
        <w:rPr>
          <w:b/>
          <w:bCs/>
          <w:szCs w:val="24"/>
        </w:rPr>
        <w:t>1</w:t>
      </w:r>
      <w:r w:rsidR="003F6030" w:rsidRPr="00C42008">
        <w:rPr>
          <w:b/>
          <w:bCs/>
          <w:szCs w:val="24"/>
        </w:rPr>
        <w:t xml:space="preserve">, </w:t>
      </w:r>
      <w:r w:rsidR="00E40B6A" w:rsidRPr="00C42008">
        <w:rPr>
          <w:b/>
          <w:bCs/>
          <w:szCs w:val="24"/>
        </w:rPr>
        <w:t>20</w:t>
      </w:r>
      <w:r w:rsidR="00A636AE" w:rsidRPr="00C42008">
        <w:rPr>
          <w:b/>
          <w:bCs/>
          <w:szCs w:val="24"/>
        </w:rPr>
        <w:t>1</w:t>
      </w:r>
      <w:r w:rsidR="00C36913">
        <w:rPr>
          <w:b/>
          <w:bCs/>
          <w:szCs w:val="24"/>
        </w:rPr>
        <w:t>2</w:t>
      </w:r>
    </w:p>
    <w:p w:rsidR="00827DD3" w:rsidRPr="00C42008" w:rsidRDefault="000165F8" w:rsidP="00545D9F">
      <w:pPr>
        <w:pStyle w:val="DefaultText"/>
        <w:spacing w:after="60"/>
        <w:ind w:firstLine="0"/>
        <w:jc w:val="center"/>
        <w:outlineLvl w:val="0"/>
        <w:rPr>
          <w:b/>
          <w:bCs/>
          <w:szCs w:val="24"/>
        </w:rPr>
      </w:pPr>
      <w:proofErr w:type="gramStart"/>
      <w:r w:rsidRPr="00C42008">
        <w:rPr>
          <w:b/>
          <w:bCs/>
          <w:szCs w:val="24"/>
        </w:rPr>
        <w:t>and</w:t>
      </w:r>
      <w:proofErr w:type="gramEnd"/>
      <w:r w:rsidRPr="00C42008">
        <w:rPr>
          <w:b/>
          <w:bCs/>
          <w:szCs w:val="24"/>
        </w:rPr>
        <w:t xml:space="preserve"> </w:t>
      </w:r>
      <w:r w:rsidR="00613167" w:rsidRPr="00C42008">
        <w:rPr>
          <w:b/>
          <w:bCs/>
          <w:szCs w:val="24"/>
        </w:rPr>
        <w:t xml:space="preserve">Part </w:t>
      </w:r>
      <w:r w:rsidR="003F6030" w:rsidRPr="00C42008">
        <w:rPr>
          <w:b/>
          <w:bCs/>
          <w:szCs w:val="24"/>
        </w:rPr>
        <w:t xml:space="preserve">2 is due </w:t>
      </w:r>
      <w:r w:rsidR="005B7BC2" w:rsidRPr="00C42008">
        <w:rPr>
          <w:b/>
          <w:bCs/>
          <w:szCs w:val="24"/>
        </w:rPr>
        <w:t>May 1</w:t>
      </w:r>
      <w:r w:rsidR="00735DF7">
        <w:rPr>
          <w:b/>
          <w:bCs/>
          <w:szCs w:val="24"/>
        </w:rPr>
        <w:t>6</w:t>
      </w:r>
      <w:r w:rsidR="005B7BC2" w:rsidRPr="00C42008">
        <w:rPr>
          <w:b/>
          <w:bCs/>
          <w:szCs w:val="24"/>
        </w:rPr>
        <w:t xml:space="preserve">, </w:t>
      </w:r>
      <w:r w:rsidR="00E40B6A" w:rsidRPr="00C42008">
        <w:rPr>
          <w:b/>
          <w:bCs/>
          <w:szCs w:val="24"/>
        </w:rPr>
        <w:t>20</w:t>
      </w:r>
      <w:r w:rsidR="00A636AE" w:rsidRPr="00C42008">
        <w:rPr>
          <w:b/>
          <w:bCs/>
          <w:szCs w:val="24"/>
        </w:rPr>
        <w:t>1</w:t>
      </w:r>
      <w:r w:rsidR="00C36913">
        <w:rPr>
          <w:b/>
          <w:bCs/>
          <w:szCs w:val="24"/>
        </w:rPr>
        <w:t>2</w:t>
      </w:r>
      <w:r w:rsidR="003F6030" w:rsidRPr="00C42008">
        <w:rPr>
          <w:b/>
          <w:bCs/>
          <w:szCs w:val="24"/>
        </w:rPr>
        <w:t>.</w:t>
      </w:r>
    </w:p>
    <w:p w:rsidR="008575E0" w:rsidRPr="00C42008" w:rsidRDefault="008575E0" w:rsidP="00545D9F">
      <w:pPr>
        <w:pStyle w:val="DefaultText"/>
        <w:spacing w:after="60"/>
        <w:ind w:firstLine="0"/>
        <w:jc w:val="center"/>
        <w:outlineLvl w:val="0"/>
        <w:rPr>
          <w:b/>
          <w:bCs/>
          <w:szCs w:val="24"/>
        </w:rPr>
      </w:pPr>
    </w:p>
    <w:p w:rsidR="006411D7" w:rsidRPr="00C42008" w:rsidRDefault="006411D7" w:rsidP="000B535A">
      <w:pPr>
        <w:pStyle w:val="DefaultText"/>
        <w:ind w:firstLine="0"/>
        <w:jc w:val="center"/>
        <w:outlineLvl w:val="0"/>
        <w:rPr>
          <w:b/>
          <w:szCs w:val="24"/>
        </w:rPr>
      </w:pPr>
      <w:r w:rsidRPr="00C42008">
        <w:rPr>
          <w:b/>
          <w:szCs w:val="24"/>
        </w:rPr>
        <w:t xml:space="preserve">For assistance completing the SREB-State Data Exchange survey, </w:t>
      </w:r>
      <w:r w:rsidR="005C3EE7" w:rsidRPr="00C42008">
        <w:rPr>
          <w:b/>
          <w:szCs w:val="24"/>
        </w:rPr>
        <w:t xml:space="preserve">call Joe Marks at (404) </w:t>
      </w:r>
      <w:r w:rsidR="00C36913" w:rsidRPr="00C36913">
        <w:rPr>
          <w:b/>
          <w:szCs w:val="24"/>
        </w:rPr>
        <w:t>879-5546</w:t>
      </w:r>
      <w:r w:rsidR="005C3EE7" w:rsidRPr="00C42008">
        <w:rPr>
          <w:b/>
          <w:szCs w:val="24"/>
        </w:rPr>
        <w:t>.</w:t>
      </w:r>
    </w:p>
    <w:p w:rsidR="00AC0539" w:rsidRDefault="00AC0539" w:rsidP="000B535A">
      <w:pPr>
        <w:pStyle w:val="DefaultText"/>
        <w:ind w:firstLine="0"/>
        <w:jc w:val="center"/>
        <w:outlineLvl w:val="0"/>
        <w:rPr>
          <w:b/>
          <w:szCs w:val="24"/>
        </w:rPr>
      </w:pPr>
    </w:p>
    <w:p w:rsidR="00B9094D" w:rsidRDefault="00B9094D" w:rsidP="000B535A">
      <w:pPr>
        <w:pStyle w:val="DefaultText"/>
        <w:ind w:firstLine="0"/>
        <w:jc w:val="center"/>
        <w:outlineLvl w:val="0"/>
        <w:rPr>
          <w:b/>
          <w:szCs w:val="24"/>
        </w:rPr>
      </w:pPr>
    </w:p>
    <w:p w:rsidR="00B9094D" w:rsidRDefault="00B9094D" w:rsidP="000B535A">
      <w:pPr>
        <w:pStyle w:val="DefaultText"/>
        <w:ind w:firstLine="0"/>
        <w:jc w:val="center"/>
        <w:outlineLvl w:val="0"/>
        <w:rPr>
          <w:b/>
          <w:szCs w:val="24"/>
        </w:rPr>
      </w:pPr>
    </w:p>
    <w:p w:rsidR="00B9094D" w:rsidRDefault="00B9094D" w:rsidP="000B535A">
      <w:pPr>
        <w:pStyle w:val="DefaultText"/>
        <w:ind w:firstLine="0"/>
        <w:jc w:val="center"/>
        <w:outlineLvl w:val="0"/>
        <w:rPr>
          <w:b/>
          <w:szCs w:val="24"/>
        </w:rPr>
      </w:pPr>
    </w:p>
    <w:p w:rsidR="00B9094D" w:rsidRDefault="00B9094D" w:rsidP="000B535A">
      <w:pPr>
        <w:pStyle w:val="DefaultText"/>
        <w:ind w:firstLine="0"/>
        <w:jc w:val="center"/>
        <w:outlineLvl w:val="0"/>
        <w:rPr>
          <w:b/>
          <w:szCs w:val="24"/>
        </w:rPr>
      </w:pPr>
    </w:p>
    <w:p w:rsidR="00B9094D" w:rsidRDefault="00B9094D" w:rsidP="000B535A">
      <w:pPr>
        <w:pStyle w:val="DefaultText"/>
        <w:ind w:firstLine="0"/>
        <w:jc w:val="center"/>
        <w:outlineLvl w:val="0"/>
        <w:rPr>
          <w:b/>
          <w:szCs w:val="24"/>
        </w:rPr>
      </w:pPr>
    </w:p>
    <w:p w:rsidR="00B3017B" w:rsidRDefault="00B3017B" w:rsidP="000B535A">
      <w:pPr>
        <w:pStyle w:val="DefaultText"/>
        <w:ind w:firstLine="0"/>
        <w:jc w:val="center"/>
        <w:outlineLvl w:val="0"/>
        <w:rPr>
          <w:b/>
          <w:szCs w:val="24"/>
        </w:rPr>
      </w:pPr>
    </w:p>
    <w:p w:rsidR="00B3017B" w:rsidRDefault="00B3017B" w:rsidP="000B535A">
      <w:pPr>
        <w:pStyle w:val="DefaultText"/>
        <w:ind w:firstLine="0"/>
        <w:jc w:val="center"/>
        <w:outlineLvl w:val="0"/>
        <w:rPr>
          <w:b/>
          <w:szCs w:val="24"/>
        </w:rPr>
      </w:pPr>
    </w:p>
    <w:p w:rsidR="00B3017B" w:rsidRDefault="00B3017B" w:rsidP="000B535A">
      <w:pPr>
        <w:pStyle w:val="DefaultText"/>
        <w:ind w:firstLine="0"/>
        <w:jc w:val="center"/>
        <w:outlineLvl w:val="0"/>
        <w:rPr>
          <w:b/>
          <w:szCs w:val="24"/>
        </w:rPr>
      </w:pPr>
    </w:p>
    <w:p w:rsidR="00B9094D" w:rsidRDefault="00B9094D" w:rsidP="000B535A">
      <w:pPr>
        <w:pStyle w:val="DefaultText"/>
        <w:ind w:firstLine="0"/>
        <w:jc w:val="center"/>
        <w:outlineLvl w:val="0"/>
        <w:rPr>
          <w:b/>
          <w:szCs w:val="24"/>
        </w:rPr>
      </w:pPr>
    </w:p>
    <w:p w:rsidR="00C36913" w:rsidRDefault="00C36913" w:rsidP="000B535A">
      <w:pPr>
        <w:pStyle w:val="DefaultText"/>
        <w:ind w:firstLine="0"/>
        <w:jc w:val="center"/>
        <w:outlineLvl w:val="0"/>
        <w:rPr>
          <w:b/>
          <w:szCs w:val="24"/>
        </w:rPr>
      </w:pPr>
    </w:p>
    <w:p w:rsidR="00C36913" w:rsidRDefault="00C36913" w:rsidP="000B535A">
      <w:pPr>
        <w:pStyle w:val="DefaultText"/>
        <w:ind w:firstLine="0"/>
        <w:jc w:val="center"/>
        <w:outlineLvl w:val="0"/>
        <w:rPr>
          <w:b/>
          <w:szCs w:val="24"/>
        </w:rPr>
      </w:pPr>
    </w:p>
    <w:p w:rsidR="00C36913" w:rsidRDefault="00C36913" w:rsidP="000B535A">
      <w:pPr>
        <w:pStyle w:val="DefaultText"/>
        <w:ind w:firstLine="0"/>
        <w:jc w:val="center"/>
        <w:outlineLvl w:val="0"/>
        <w:rPr>
          <w:b/>
          <w:szCs w:val="24"/>
        </w:rPr>
      </w:pPr>
    </w:p>
    <w:p w:rsidR="00C36913" w:rsidRDefault="00C36913" w:rsidP="000B535A">
      <w:pPr>
        <w:pStyle w:val="DefaultText"/>
        <w:ind w:firstLine="0"/>
        <w:jc w:val="center"/>
        <w:outlineLvl w:val="0"/>
        <w:rPr>
          <w:b/>
          <w:szCs w:val="24"/>
        </w:rPr>
      </w:pPr>
    </w:p>
    <w:p w:rsidR="003F6030" w:rsidRPr="00C42008" w:rsidRDefault="003F6030" w:rsidP="00827DD3">
      <w:pPr>
        <w:pStyle w:val="DefaultText"/>
        <w:jc w:val="center"/>
        <w:outlineLvl w:val="0"/>
        <w:rPr>
          <w:b/>
          <w:bCs/>
          <w:szCs w:val="24"/>
          <w:u w:val="single"/>
        </w:rPr>
      </w:pPr>
      <w:r w:rsidRPr="00C42008">
        <w:rPr>
          <w:b/>
          <w:bCs/>
          <w:szCs w:val="24"/>
          <w:u w:val="single"/>
        </w:rPr>
        <w:lastRenderedPageBreak/>
        <w:t>Overview of the Survey</w:t>
      </w:r>
    </w:p>
    <w:p w:rsidR="003F6030" w:rsidRPr="00C42008" w:rsidRDefault="003F6030">
      <w:pPr>
        <w:pStyle w:val="DefaultText"/>
        <w:rPr>
          <w:szCs w:val="24"/>
        </w:rPr>
      </w:pPr>
    </w:p>
    <w:p w:rsidR="000165F8" w:rsidRPr="00C42008" w:rsidRDefault="00895ED6" w:rsidP="008F5B1C">
      <w:pPr>
        <w:pStyle w:val="DefaultText"/>
        <w:tabs>
          <w:tab w:val="right" w:pos="1080"/>
        </w:tabs>
        <w:spacing w:after="120"/>
        <w:ind w:left="1440" w:hanging="1440"/>
        <w:rPr>
          <w:szCs w:val="24"/>
        </w:rPr>
      </w:pPr>
      <w:r w:rsidRPr="00C42008">
        <w:rPr>
          <w:szCs w:val="24"/>
        </w:rPr>
        <w:tab/>
      </w:r>
      <w:r w:rsidR="003F6030" w:rsidRPr="00C42008">
        <w:rPr>
          <w:szCs w:val="24"/>
          <w:u w:val="single"/>
        </w:rPr>
        <w:t>Part 1</w:t>
      </w:r>
      <w:r w:rsidR="003F6030" w:rsidRPr="00C42008">
        <w:rPr>
          <w:szCs w:val="24"/>
        </w:rPr>
        <w:t>:</w:t>
      </w:r>
      <w:r w:rsidR="003F6030" w:rsidRPr="00C42008">
        <w:rPr>
          <w:szCs w:val="24"/>
        </w:rPr>
        <w:tab/>
        <w:t>Degrees and Other Awards Conferred</w:t>
      </w:r>
    </w:p>
    <w:p w:rsidR="003F6030" w:rsidRPr="00C42008" w:rsidRDefault="00895ED6" w:rsidP="008F5B1C">
      <w:pPr>
        <w:pStyle w:val="DefaultText"/>
        <w:tabs>
          <w:tab w:val="right" w:pos="1080"/>
        </w:tabs>
        <w:spacing w:after="120"/>
        <w:ind w:left="1440" w:hanging="1440"/>
        <w:rPr>
          <w:szCs w:val="24"/>
        </w:rPr>
      </w:pPr>
      <w:r w:rsidRPr="00C42008">
        <w:rPr>
          <w:szCs w:val="24"/>
        </w:rPr>
        <w:tab/>
      </w:r>
      <w:r w:rsidR="003F6030" w:rsidRPr="00C42008">
        <w:rPr>
          <w:szCs w:val="24"/>
          <w:u w:val="single"/>
        </w:rPr>
        <w:t>Part 2</w:t>
      </w:r>
      <w:r w:rsidR="003F6030" w:rsidRPr="00C42008">
        <w:rPr>
          <w:szCs w:val="24"/>
        </w:rPr>
        <w:t>:</w:t>
      </w:r>
      <w:r w:rsidR="003F6030" w:rsidRPr="00C42008">
        <w:rPr>
          <w:szCs w:val="24"/>
        </w:rPr>
        <w:tab/>
        <w:t xml:space="preserve">Student </w:t>
      </w:r>
      <w:r w:rsidR="00ED08B3" w:rsidRPr="00C42008">
        <w:rPr>
          <w:szCs w:val="24"/>
        </w:rPr>
        <w:t xml:space="preserve">First Year Persistence Rates </w:t>
      </w:r>
      <w:r w:rsidR="004528DD" w:rsidRPr="00C42008">
        <w:rPr>
          <w:szCs w:val="24"/>
        </w:rPr>
        <w:t xml:space="preserve">and </w:t>
      </w:r>
      <w:r w:rsidR="003F6030" w:rsidRPr="00C42008">
        <w:rPr>
          <w:szCs w:val="24"/>
        </w:rPr>
        <w:t>Progression Rates</w:t>
      </w:r>
    </w:p>
    <w:p w:rsidR="00FB47DD" w:rsidRPr="00735DF7" w:rsidRDefault="00FB47DD" w:rsidP="00FB47DD">
      <w:pPr>
        <w:pStyle w:val="DefaultText"/>
        <w:tabs>
          <w:tab w:val="right" w:pos="1080"/>
        </w:tabs>
        <w:spacing w:after="120"/>
        <w:ind w:left="1440" w:hanging="1440"/>
        <w:rPr>
          <w:rStyle w:val="grey9ptr"/>
          <w:b/>
          <w:szCs w:val="24"/>
        </w:rPr>
      </w:pPr>
      <w:r w:rsidRPr="00C42008">
        <w:rPr>
          <w:szCs w:val="24"/>
        </w:rPr>
        <w:tab/>
      </w:r>
      <w:r w:rsidRPr="00735DF7">
        <w:rPr>
          <w:szCs w:val="24"/>
          <w:u w:val="single"/>
        </w:rPr>
        <w:t>Part 3</w:t>
      </w:r>
      <w:r w:rsidRPr="00735DF7">
        <w:rPr>
          <w:szCs w:val="24"/>
        </w:rPr>
        <w:t>:</w:t>
      </w:r>
      <w:r w:rsidRPr="00735DF7">
        <w:rPr>
          <w:szCs w:val="24"/>
        </w:rPr>
        <w:tab/>
      </w:r>
      <w:r w:rsidR="006E7062" w:rsidRPr="00735DF7">
        <w:rPr>
          <w:szCs w:val="24"/>
        </w:rPr>
        <w:t>T</w:t>
      </w:r>
      <w:r w:rsidRPr="00735DF7">
        <w:rPr>
          <w:szCs w:val="24"/>
        </w:rPr>
        <w:t xml:space="preserve">ime </w:t>
      </w:r>
      <w:r w:rsidR="00735DF7" w:rsidRPr="00735DF7">
        <w:rPr>
          <w:szCs w:val="24"/>
        </w:rPr>
        <w:t xml:space="preserve">and Attempted Credits </w:t>
      </w:r>
      <w:r w:rsidRPr="00735DF7">
        <w:rPr>
          <w:szCs w:val="24"/>
        </w:rPr>
        <w:t xml:space="preserve">to </w:t>
      </w:r>
      <w:r w:rsidR="0095224A" w:rsidRPr="00735DF7">
        <w:rPr>
          <w:szCs w:val="24"/>
        </w:rPr>
        <w:t xml:space="preserve">Bachelor’s </w:t>
      </w:r>
      <w:r w:rsidR="00735DF7" w:rsidRPr="00735DF7">
        <w:rPr>
          <w:szCs w:val="24"/>
        </w:rPr>
        <w:t>or Associate’s Degrees</w:t>
      </w:r>
    </w:p>
    <w:p w:rsidR="00ED08B3" w:rsidRPr="00C42008" w:rsidRDefault="00895ED6" w:rsidP="008F5B1C">
      <w:pPr>
        <w:pStyle w:val="DefaultText"/>
        <w:tabs>
          <w:tab w:val="right" w:pos="1080"/>
        </w:tabs>
        <w:spacing w:after="120"/>
        <w:ind w:left="1440" w:hanging="1440"/>
        <w:rPr>
          <w:szCs w:val="24"/>
        </w:rPr>
      </w:pPr>
      <w:r w:rsidRPr="00C42008">
        <w:rPr>
          <w:szCs w:val="24"/>
        </w:rPr>
        <w:tab/>
      </w:r>
      <w:r w:rsidR="003F6030" w:rsidRPr="00C42008">
        <w:rPr>
          <w:szCs w:val="24"/>
          <w:u w:val="single"/>
        </w:rPr>
        <w:t xml:space="preserve">Part </w:t>
      </w:r>
      <w:r w:rsidR="00FB47DD" w:rsidRPr="00C42008">
        <w:rPr>
          <w:szCs w:val="24"/>
          <w:u w:val="single"/>
        </w:rPr>
        <w:t>4</w:t>
      </w:r>
      <w:r w:rsidR="003F6030" w:rsidRPr="00C42008">
        <w:rPr>
          <w:szCs w:val="24"/>
        </w:rPr>
        <w:t>:</w:t>
      </w:r>
      <w:r w:rsidR="003F6030" w:rsidRPr="00C42008">
        <w:rPr>
          <w:szCs w:val="24"/>
        </w:rPr>
        <w:tab/>
        <w:t>Estimated Full Year Credit/Contact Hours</w:t>
      </w:r>
      <w:r w:rsidR="00ED08B3" w:rsidRPr="00C42008">
        <w:rPr>
          <w:szCs w:val="24"/>
        </w:rPr>
        <w:t xml:space="preserve"> by Student Level</w:t>
      </w:r>
    </w:p>
    <w:p w:rsidR="00520FD1" w:rsidRPr="00C42008" w:rsidRDefault="00895ED6" w:rsidP="008F5B1C">
      <w:pPr>
        <w:pStyle w:val="DefaultText"/>
        <w:tabs>
          <w:tab w:val="right" w:pos="1080"/>
        </w:tabs>
        <w:spacing w:after="120"/>
        <w:ind w:left="1440" w:hanging="1440"/>
        <w:rPr>
          <w:szCs w:val="24"/>
        </w:rPr>
      </w:pPr>
      <w:r w:rsidRPr="00C42008">
        <w:rPr>
          <w:szCs w:val="24"/>
        </w:rPr>
        <w:tab/>
      </w:r>
      <w:r w:rsidR="003F6030" w:rsidRPr="00C42008">
        <w:rPr>
          <w:szCs w:val="24"/>
          <w:u w:val="single"/>
        </w:rPr>
        <w:t xml:space="preserve">Part </w:t>
      </w:r>
      <w:r w:rsidR="00FB47DD" w:rsidRPr="00C42008">
        <w:rPr>
          <w:szCs w:val="24"/>
          <w:u w:val="single"/>
        </w:rPr>
        <w:t>5</w:t>
      </w:r>
      <w:r w:rsidR="003F6030" w:rsidRPr="00C42008">
        <w:rPr>
          <w:szCs w:val="24"/>
        </w:rPr>
        <w:t>:</w:t>
      </w:r>
      <w:r w:rsidR="003F6030" w:rsidRPr="00C42008">
        <w:rPr>
          <w:szCs w:val="24"/>
        </w:rPr>
        <w:tab/>
      </w:r>
      <w:r w:rsidR="00ED08B3" w:rsidRPr="00C42008">
        <w:rPr>
          <w:szCs w:val="24"/>
        </w:rPr>
        <w:t xml:space="preserve">Estimated Full Year </w:t>
      </w:r>
      <w:r w:rsidR="00520FD1" w:rsidRPr="00C42008">
        <w:rPr>
          <w:szCs w:val="24"/>
        </w:rPr>
        <w:t>Credit</w:t>
      </w:r>
      <w:r w:rsidR="00ED08B3" w:rsidRPr="00C42008">
        <w:rPr>
          <w:szCs w:val="24"/>
        </w:rPr>
        <w:t>/Contact</w:t>
      </w:r>
      <w:r w:rsidR="00520FD1" w:rsidRPr="00C42008">
        <w:rPr>
          <w:szCs w:val="24"/>
        </w:rPr>
        <w:t xml:space="preserve"> Hours </w:t>
      </w:r>
      <w:r w:rsidR="00A8239B" w:rsidRPr="00C42008">
        <w:rPr>
          <w:szCs w:val="24"/>
        </w:rPr>
        <w:t>by Type of Instruction</w:t>
      </w:r>
    </w:p>
    <w:p w:rsidR="00C339FD" w:rsidRPr="00C42008" w:rsidRDefault="00895ED6" w:rsidP="008F5B1C">
      <w:pPr>
        <w:pStyle w:val="DefaultText"/>
        <w:tabs>
          <w:tab w:val="right" w:pos="1080"/>
        </w:tabs>
        <w:spacing w:after="120"/>
        <w:ind w:left="1440" w:hanging="1440"/>
        <w:rPr>
          <w:szCs w:val="24"/>
        </w:rPr>
      </w:pPr>
      <w:r w:rsidRPr="00C42008">
        <w:rPr>
          <w:szCs w:val="24"/>
        </w:rPr>
        <w:tab/>
      </w:r>
      <w:r w:rsidR="00520FD1" w:rsidRPr="00C42008">
        <w:rPr>
          <w:szCs w:val="24"/>
          <w:u w:val="single"/>
        </w:rPr>
        <w:t xml:space="preserve">Part </w:t>
      </w:r>
      <w:r w:rsidR="00FB47DD" w:rsidRPr="00C42008">
        <w:rPr>
          <w:szCs w:val="24"/>
          <w:u w:val="single"/>
        </w:rPr>
        <w:t>6</w:t>
      </w:r>
      <w:r w:rsidR="00520FD1" w:rsidRPr="00C42008">
        <w:rPr>
          <w:szCs w:val="24"/>
          <w:u w:val="single"/>
        </w:rPr>
        <w:t>:</w:t>
      </w:r>
      <w:r w:rsidR="00520FD1" w:rsidRPr="00C42008">
        <w:rPr>
          <w:szCs w:val="24"/>
        </w:rPr>
        <w:t xml:space="preserve"> </w:t>
      </w:r>
      <w:r w:rsidR="00520FD1" w:rsidRPr="00C42008">
        <w:rPr>
          <w:szCs w:val="24"/>
        </w:rPr>
        <w:tab/>
      </w:r>
      <w:r w:rsidR="00C339FD" w:rsidRPr="00C42008">
        <w:rPr>
          <w:szCs w:val="24"/>
        </w:rPr>
        <w:t xml:space="preserve">State/Local </w:t>
      </w:r>
      <w:r w:rsidR="003F6030" w:rsidRPr="00C42008">
        <w:rPr>
          <w:szCs w:val="24"/>
        </w:rPr>
        <w:t>Fund</w:t>
      </w:r>
      <w:r w:rsidR="008B6B92" w:rsidRPr="00C42008">
        <w:rPr>
          <w:szCs w:val="24"/>
        </w:rPr>
        <w:t>ing and Tuition</w:t>
      </w:r>
      <w:r w:rsidR="00C339FD" w:rsidRPr="00C42008">
        <w:rPr>
          <w:szCs w:val="24"/>
        </w:rPr>
        <w:t>/</w:t>
      </w:r>
      <w:r w:rsidR="008B6B92" w:rsidRPr="00C42008">
        <w:rPr>
          <w:szCs w:val="24"/>
        </w:rPr>
        <w:t>Fees Revenues</w:t>
      </w:r>
      <w:r w:rsidR="00C339FD" w:rsidRPr="00C42008">
        <w:rPr>
          <w:szCs w:val="24"/>
        </w:rPr>
        <w:t xml:space="preserve"> for Operating Expenses</w:t>
      </w:r>
    </w:p>
    <w:p w:rsidR="003F6030" w:rsidRPr="00C42008" w:rsidRDefault="00895ED6" w:rsidP="008F5B1C">
      <w:pPr>
        <w:pStyle w:val="DefaultText"/>
        <w:tabs>
          <w:tab w:val="right" w:pos="1080"/>
        </w:tabs>
        <w:spacing w:after="120"/>
        <w:ind w:left="1440" w:hanging="1440"/>
        <w:rPr>
          <w:szCs w:val="24"/>
        </w:rPr>
      </w:pPr>
      <w:r w:rsidRPr="00C42008">
        <w:rPr>
          <w:szCs w:val="24"/>
        </w:rPr>
        <w:tab/>
      </w:r>
      <w:r w:rsidR="003F6030" w:rsidRPr="00C42008">
        <w:rPr>
          <w:szCs w:val="24"/>
          <w:u w:val="single"/>
        </w:rPr>
        <w:t xml:space="preserve">Part </w:t>
      </w:r>
      <w:r w:rsidR="00FB47DD" w:rsidRPr="00C42008">
        <w:rPr>
          <w:szCs w:val="24"/>
          <w:u w:val="single"/>
        </w:rPr>
        <w:t>7</w:t>
      </w:r>
      <w:r w:rsidR="003F6030" w:rsidRPr="00C42008">
        <w:rPr>
          <w:szCs w:val="24"/>
        </w:rPr>
        <w:t>:</w:t>
      </w:r>
      <w:r w:rsidR="003F6030" w:rsidRPr="00C42008">
        <w:rPr>
          <w:szCs w:val="24"/>
        </w:rPr>
        <w:tab/>
        <w:t>Annualized Tuition and Mandatory Fees Charged Full-time In-state and Out-of-state Students</w:t>
      </w:r>
    </w:p>
    <w:p w:rsidR="003F6030" w:rsidRPr="00C42008" w:rsidRDefault="00895ED6" w:rsidP="008F5B1C">
      <w:pPr>
        <w:pStyle w:val="DefaultText"/>
        <w:tabs>
          <w:tab w:val="right" w:pos="1080"/>
        </w:tabs>
        <w:spacing w:after="120"/>
        <w:ind w:left="1440" w:hanging="1440"/>
        <w:rPr>
          <w:szCs w:val="24"/>
        </w:rPr>
      </w:pPr>
      <w:r w:rsidRPr="00C42008">
        <w:rPr>
          <w:szCs w:val="24"/>
        </w:rPr>
        <w:tab/>
      </w:r>
      <w:r w:rsidR="003F6030" w:rsidRPr="00C42008">
        <w:rPr>
          <w:szCs w:val="24"/>
          <w:u w:val="single"/>
        </w:rPr>
        <w:t xml:space="preserve">Part </w:t>
      </w:r>
      <w:r w:rsidR="00FB47DD" w:rsidRPr="00C42008">
        <w:rPr>
          <w:szCs w:val="24"/>
          <w:u w:val="single"/>
        </w:rPr>
        <w:t>8</w:t>
      </w:r>
      <w:r w:rsidR="004E5567" w:rsidRPr="00C42008">
        <w:rPr>
          <w:szCs w:val="24"/>
        </w:rPr>
        <w:t>:</w:t>
      </w:r>
      <w:r w:rsidR="004E5567" w:rsidRPr="00C42008">
        <w:rPr>
          <w:szCs w:val="24"/>
        </w:rPr>
        <w:tab/>
        <w:t xml:space="preserve">Tuition and </w:t>
      </w:r>
      <w:r w:rsidR="003F6030" w:rsidRPr="00C42008">
        <w:rPr>
          <w:szCs w:val="24"/>
        </w:rPr>
        <w:t>Related Policies</w:t>
      </w:r>
      <w:r w:rsidR="00116F20" w:rsidRPr="00C42008">
        <w:rPr>
          <w:szCs w:val="24"/>
        </w:rPr>
        <w:t xml:space="preserve"> and Mid-Year Increases</w:t>
      </w:r>
    </w:p>
    <w:p w:rsidR="003F6030" w:rsidRPr="00C42008" w:rsidRDefault="00895ED6" w:rsidP="008F5B1C">
      <w:pPr>
        <w:pStyle w:val="DefaultText"/>
        <w:tabs>
          <w:tab w:val="right" w:pos="1080"/>
        </w:tabs>
        <w:spacing w:after="120"/>
        <w:ind w:left="1440" w:hanging="1440"/>
        <w:rPr>
          <w:szCs w:val="24"/>
        </w:rPr>
      </w:pPr>
      <w:r w:rsidRPr="00C42008">
        <w:rPr>
          <w:szCs w:val="24"/>
        </w:rPr>
        <w:tab/>
      </w:r>
      <w:r w:rsidR="003F6030" w:rsidRPr="00C42008">
        <w:rPr>
          <w:szCs w:val="24"/>
          <w:u w:val="single"/>
        </w:rPr>
        <w:t xml:space="preserve">Part </w:t>
      </w:r>
      <w:r w:rsidR="00FB47DD" w:rsidRPr="00C42008">
        <w:rPr>
          <w:szCs w:val="24"/>
          <w:u w:val="single"/>
        </w:rPr>
        <w:t>9</w:t>
      </w:r>
      <w:r w:rsidR="003F6030" w:rsidRPr="00C42008">
        <w:rPr>
          <w:szCs w:val="24"/>
        </w:rPr>
        <w:t>:</w:t>
      </w:r>
      <w:r w:rsidR="003F6030" w:rsidRPr="00C42008">
        <w:rPr>
          <w:szCs w:val="24"/>
        </w:rPr>
        <w:tab/>
        <w:t>Average Salaries of Full-time Instructional Faculty</w:t>
      </w:r>
    </w:p>
    <w:p w:rsidR="005D6949" w:rsidRPr="00C42008" w:rsidRDefault="00895ED6" w:rsidP="00C36913">
      <w:pPr>
        <w:pStyle w:val="DefaultText"/>
        <w:tabs>
          <w:tab w:val="right" w:pos="1080"/>
        </w:tabs>
        <w:spacing w:after="120"/>
        <w:ind w:left="1440" w:hanging="1440"/>
        <w:rPr>
          <w:szCs w:val="24"/>
        </w:rPr>
      </w:pPr>
      <w:r w:rsidRPr="00C42008">
        <w:rPr>
          <w:szCs w:val="24"/>
        </w:rPr>
        <w:tab/>
      </w:r>
    </w:p>
    <w:p w:rsidR="00F55A3B" w:rsidRDefault="00F55A3B" w:rsidP="00F55A3B">
      <w:pPr>
        <w:rPr>
          <w:b/>
          <w:bCs/>
          <w:szCs w:val="24"/>
        </w:rPr>
      </w:pPr>
    </w:p>
    <w:p w:rsidR="003F6030" w:rsidRPr="00C42008" w:rsidRDefault="003F6030" w:rsidP="00F55A3B">
      <w:pPr>
        <w:jc w:val="center"/>
        <w:rPr>
          <w:b/>
          <w:bCs/>
          <w:sz w:val="24"/>
          <w:szCs w:val="24"/>
        </w:rPr>
      </w:pPr>
      <w:r w:rsidRPr="00C42008">
        <w:rPr>
          <w:b/>
          <w:bCs/>
          <w:sz w:val="24"/>
          <w:szCs w:val="24"/>
        </w:rPr>
        <w:t>Definitions of Institutional Categories</w:t>
      </w:r>
    </w:p>
    <w:p w:rsidR="003F6030" w:rsidRPr="00C42008" w:rsidRDefault="003F6030" w:rsidP="008F296C">
      <w:pPr>
        <w:pStyle w:val="DefaultText"/>
        <w:ind w:firstLine="0"/>
        <w:rPr>
          <w:szCs w:val="24"/>
        </w:rPr>
      </w:pPr>
    </w:p>
    <w:p w:rsidR="00271D2E" w:rsidRPr="00C42008" w:rsidRDefault="00271D2E" w:rsidP="00AC0539">
      <w:pPr>
        <w:pStyle w:val="DefaultText"/>
        <w:suppressAutoHyphens/>
        <w:spacing w:after="120"/>
        <w:rPr>
          <w:szCs w:val="24"/>
        </w:rPr>
      </w:pPr>
      <w:r w:rsidRPr="00C42008">
        <w:rPr>
          <w:szCs w:val="24"/>
        </w:rPr>
        <w:t xml:space="preserve">Throughout its </w:t>
      </w:r>
      <w:r w:rsidR="00B0676B" w:rsidRPr="00C42008">
        <w:rPr>
          <w:szCs w:val="24"/>
        </w:rPr>
        <w:t>4</w:t>
      </w:r>
      <w:r w:rsidR="00C36913">
        <w:rPr>
          <w:szCs w:val="24"/>
        </w:rPr>
        <w:t>3</w:t>
      </w:r>
      <w:r w:rsidRPr="00C42008">
        <w:rPr>
          <w:szCs w:val="24"/>
        </w:rPr>
        <w:t>-year history, the SREB-State Data Exchange has recognized the</w:t>
      </w:r>
      <w:r w:rsidR="00D674EA" w:rsidRPr="00C42008">
        <w:rPr>
          <w:szCs w:val="24"/>
        </w:rPr>
        <w:t xml:space="preserve"> </w:t>
      </w:r>
      <w:r w:rsidRPr="00C42008">
        <w:rPr>
          <w:szCs w:val="24"/>
        </w:rPr>
        <w:t>importance of reporting statistical comparisons by institutional category — unlike m</w:t>
      </w:r>
      <w:r w:rsidR="00545D9F" w:rsidRPr="00C42008">
        <w:rPr>
          <w:szCs w:val="24"/>
        </w:rPr>
        <w:t>any</w:t>
      </w:r>
      <w:r w:rsidRPr="00C42008">
        <w:rPr>
          <w:szCs w:val="24"/>
        </w:rPr>
        <w:t xml:space="preserve"> other </w:t>
      </w:r>
      <w:r w:rsidR="00545D9F" w:rsidRPr="00C42008">
        <w:rPr>
          <w:szCs w:val="24"/>
        </w:rPr>
        <w:t xml:space="preserve">interstate </w:t>
      </w:r>
      <w:r w:rsidRPr="00C42008">
        <w:rPr>
          <w:szCs w:val="24"/>
        </w:rPr>
        <w:t>statistical reports, even today. States have very different mixes of types of institutions, and statewide aggregate comparisons always should be interpreted cautiously.</w:t>
      </w:r>
    </w:p>
    <w:p w:rsidR="00271D2E" w:rsidRPr="00C42008" w:rsidRDefault="00271D2E" w:rsidP="00271D2E">
      <w:pPr>
        <w:pStyle w:val="DefaultText"/>
        <w:suppressAutoHyphens/>
        <w:spacing w:after="120"/>
        <w:rPr>
          <w:szCs w:val="24"/>
        </w:rPr>
      </w:pPr>
      <w:r w:rsidRPr="00C42008">
        <w:rPr>
          <w:szCs w:val="24"/>
        </w:rPr>
        <w:t xml:space="preserve">Designed to be used for interstate statistical comparisons, the SREB system for </w:t>
      </w:r>
      <w:r w:rsidR="00A636AE" w:rsidRPr="00C42008">
        <w:rPr>
          <w:szCs w:val="24"/>
        </w:rPr>
        <w:t xml:space="preserve">grouping </w:t>
      </w:r>
      <w:r w:rsidRPr="00C42008">
        <w:rPr>
          <w:szCs w:val="24"/>
        </w:rPr>
        <w:t xml:space="preserve">postsecondary education institutions is based on several factors </w:t>
      </w:r>
      <w:r w:rsidR="00E7463E" w:rsidRPr="00C42008">
        <w:rPr>
          <w:szCs w:val="24"/>
        </w:rPr>
        <w:t>used</w:t>
      </w:r>
      <w:r w:rsidRPr="00C42008">
        <w:rPr>
          <w:szCs w:val="24"/>
        </w:rPr>
        <w:t xml:space="preserve"> to </w:t>
      </w:r>
      <w:r w:rsidR="00251735" w:rsidRPr="00C42008">
        <w:rPr>
          <w:szCs w:val="24"/>
        </w:rPr>
        <w:t xml:space="preserve">determine </w:t>
      </w:r>
      <w:r w:rsidR="00E7463E" w:rsidRPr="00C42008">
        <w:rPr>
          <w:szCs w:val="24"/>
        </w:rPr>
        <w:t xml:space="preserve">their </w:t>
      </w:r>
      <w:r w:rsidRPr="00C42008">
        <w:rPr>
          <w:szCs w:val="24"/>
        </w:rPr>
        <w:t xml:space="preserve">resource requirements. Institutions are classified based on size (number of degrees or full-time-equivalent enrollment), role (types of degrees), breadth of program offerings (number of program areas in which degrees are granted) and comprehensiveness (distribution of degrees across program areas). The SREB classifications </w:t>
      </w:r>
      <w:r w:rsidRPr="00C42008">
        <w:rPr>
          <w:i/>
          <w:szCs w:val="24"/>
        </w:rPr>
        <w:t>do not</w:t>
      </w:r>
      <w:r w:rsidRPr="00C42008">
        <w:rPr>
          <w:szCs w:val="24"/>
        </w:rPr>
        <w:t xml:space="preserve"> take into account other factors relevant to determining resource requirements, such as cost differences among programs or externally funded research.</w:t>
      </w:r>
    </w:p>
    <w:p w:rsidR="00271D2E" w:rsidRPr="00C42008" w:rsidRDefault="00271D2E" w:rsidP="000165F8">
      <w:pPr>
        <w:pStyle w:val="DefaultText"/>
        <w:suppressAutoHyphens/>
        <w:spacing w:after="120"/>
        <w:rPr>
          <w:szCs w:val="24"/>
        </w:rPr>
      </w:pPr>
      <w:r w:rsidRPr="00C42008">
        <w:rPr>
          <w:szCs w:val="24"/>
        </w:rPr>
        <w:t xml:space="preserve">The SREB-State Data Exchange recognizes that </w:t>
      </w:r>
      <w:r w:rsidR="00E7463E" w:rsidRPr="00C42008">
        <w:rPr>
          <w:szCs w:val="24"/>
        </w:rPr>
        <w:t xml:space="preserve">other ways of grouping </w:t>
      </w:r>
      <w:r w:rsidRPr="00C42008">
        <w:rPr>
          <w:szCs w:val="24"/>
        </w:rPr>
        <w:t xml:space="preserve">may serve different purposes. </w:t>
      </w:r>
      <w:r w:rsidR="00E7463E" w:rsidRPr="00C42008">
        <w:rPr>
          <w:szCs w:val="24"/>
        </w:rPr>
        <w:t xml:space="preserve">For example, in funding formulas for colleges and universities </w:t>
      </w:r>
      <w:r w:rsidRPr="00C42008">
        <w:rPr>
          <w:szCs w:val="24"/>
        </w:rPr>
        <w:t>states</w:t>
      </w:r>
      <w:r w:rsidR="007B70CF">
        <w:rPr>
          <w:szCs w:val="24"/>
        </w:rPr>
        <w:t xml:space="preserve"> </w:t>
      </w:r>
      <w:r w:rsidR="00E7463E" w:rsidRPr="00C42008">
        <w:rPr>
          <w:szCs w:val="24"/>
        </w:rPr>
        <w:t xml:space="preserve">take additional characteristics into account in forming </w:t>
      </w:r>
      <w:r w:rsidRPr="00C42008">
        <w:rPr>
          <w:szCs w:val="24"/>
        </w:rPr>
        <w:t xml:space="preserve">comparisons </w:t>
      </w:r>
      <w:r w:rsidR="00E7463E" w:rsidRPr="00C42008">
        <w:rPr>
          <w:szCs w:val="24"/>
        </w:rPr>
        <w:t>groups.</w:t>
      </w:r>
      <w:r w:rsidR="000165F8" w:rsidRPr="00C42008">
        <w:rPr>
          <w:szCs w:val="24"/>
        </w:rPr>
        <w:t xml:space="preserve"> </w:t>
      </w:r>
      <w:r w:rsidRPr="00C42008">
        <w:rPr>
          <w:szCs w:val="24"/>
        </w:rPr>
        <w:t xml:space="preserve">The SREB-State Data Exchange assists states in analyzing alternate groups by making the by-college data from the Data Exchange </w:t>
      </w:r>
      <w:r w:rsidR="00E7463E" w:rsidRPr="00C42008">
        <w:rPr>
          <w:szCs w:val="24"/>
        </w:rPr>
        <w:t xml:space="preserve">survey </w:t>
      </w:r>
      <w:r w:rsidRPr="00C42008">
        <w:rPr>
          <w:szCs w:val="24"/>
        </w:rPr>
        <w:t xml:space="preserve">available </w:t>
      </w:r>
      <w:r w:rsidR="000F1041">
        <w:rPr>
          <w:szCs w:val="24"/>
        </w:rPr>
        <w:t xml:space="preserve">through an </w:t>
      </w:r>
      <w:r w:rsidRPr="00C42008">
        <w:rPr>
          <w:szCs w:val="24"/>
        </w:rPr>
        <w:t>online</w:t>
      </w:r>
      <w:r w:rsidR="000F1041">
        <w:rPr>
          <w:szCs w:val="24"/>
        </w:rPr>
        <w:t xml:space="preserve"> data library</w:t>
      </w:r>
      <w:r w:rsidRPr="00C42008">
        <w:rPr>
          <w:szCs w:val="24"/>
        </w:rPr>
        <w:t xml:space="preserve">. SREB publications show results using the categories listed on the following pages. </w:t>
      </w:r>
    </w:p>
    <w:p w:rsidR="003F6030" w:rsidRPr="00C42008" w:rsidRDefault="00271D2E" w:rsidP="00271D2E">
      <w:pPr>
        <w:pStyle w:val="DefaultText"/>
        <w:suppressAutoHyphens/>
        <w:spacing w:after="120"/>
        <w:rPr>
          <w:szCs w:val="24"/>
        </w:rPr>
      </w:pPr>
      <w:r w:rsidRPr="00C42008">
        <w:rPr>
          <w:szCs w:val="24"/>
        </w:rPr>
        <w:t xml:space="preserve">Institutions are assigned to categories </w:t>
      </w:r>
      <w:r w:rsidR="007B70CF">
        <w:rPr>
          <w:szCs w:val="24"/>
        </w:rPr>
        <w:t xml:space="preserve">in a survey year </w:t>
      </w:r>
      <w:r w:rsidRPr="00C42008">
        <w:rPr>
          <w:szCs w:val="24"/>
        </w:rPr>
        <w:t xml:space="preserve">using data on program completions from the previous academic year — or, for two-year colleges and technical institutes or colleges, using data on estimated full-time-equivalent enrollment for the current academic year. To keep the statistical comparison groups relatively stable over time, institutions change categories when they meet the criteria for another category for the third consecutive </w:t>
      </w:r>
      <w:r w:rsidR="005C3EE7" w:rsidRPr="00C42008">
        <w:rPr>
          <w:szCs w:val="24"/>
        </w:rPr>
        <w:t>time</w:t>
      </w:r>
      <w:r w:rsidRPr="00C42008">
        <w:rPr>
          <w:szCs w:val="24"/>
        </w:rPr>
        <w:t xml:space="preserve">. </w:t>
      </w:r>
    </w:p>
    <w:p w:rsidR="00C339FD" w:rsidRDefault="00C339FD">
      <w:pPr>
        <w:pStyle w:val="DefaultText"/>
        <w:jc w:val="center"/>
        <w:rPr>
          <w:b/>
          <w:szCs w:val="24"/>
          <w:u w:val="single"/>
        </w:rPr>
      </w:pPr>
    </w:p>
    <w:p w:rsidR="00B9094D" w:rsidRDefault="00B9094D">
      <w:pPr>
        <w:pStyle w:val="DefaultText"/>
        <w:jc w:val="center"/>
        <w:rPr>
          <w:b/>
          <w:szCs w:val="24"/>
          <w:u w:val="single"/>
        </w:rPr>
      </w:pPr>
    </w:p>
    <w:p w:rsidR="007705B9" w:rsidRDefault="007705B9">
      <w:pPr>
        <w:pStyle w:val="DefaultText"/>
        <w:jc w:val="center"/>
        <w:rPr>
          <w:b/>
          <w:szCs w:val="24"/>
          <w:u w:val="single"/>
        </w:rPr>
      </w:pPr>
    </w:p>
    <w:p w:rsidR="007705B9" w:rsidRDefault="007705B9">
      <w:pPr>
        <w:pStyle w:val="DefaultText"/>
        <w:jc w:val="center"/>
        <w:rPr>
          <w:b/>
          <w:szCs w:val="24"/>
          <w:u w:val="single"/>
        </w:rPr>
      </w:pPr>
    </w:p>
    <w:p w:rsidR="007705B9" w:rsidRDefault="007705B9">
      <w:pPr>
        <w:pStyle w:val="DefaultText"/>
        <w:jc w:val="center"/>
        <w:rPr>
          <w:b/>
          <w:szCs w:val="24"/>
          <w:u w:val="single"/>
        </w:rPr>
      </w:pPr>
    </w:p>
    <w:p w:rsidR="000F1041" w:rsidRDefault="000F1041">
      <w:pPr>
        <w:pStyle w:val="DefaultText"/>
        <w:jc w:val="center"/>
        <w:rPr>
          <w:b/>
          <w:szCs w:val="24"/>
          <w:u w:val="single"/>
        </w:rPr>
      </w:pPr>
    </w:p>
    <w:tbl>
      <w:tblPr>
        <w:tblW w:w="0" w:type="auto"/>
        <w:tblLook w:val="01E0"/>
      </w:tblPr>
      <w:tblGrid>
        <w:gridCol w:w="1908"/>
        <w:gridCol w:w="90"/>
        <w:gridCol w:w="8529"/>
      </w:tblGrid>
      <w:tr w:rsidR="001E7C74" w:rsidRPr="00C42008" w:rsidTr="00F52B13">
        <w:trPr>
          <w:trHeight w:val="154"/>
        </w:trPr>
        <w:tc>
          <w:tcPr>
            <w:tcW w:w="10527" w:type="dxa"/>
            <w:gridSpan w:val="3"/>
          </w:tcPr>
          <w:p w:rsidR="001E7C74" w:rsidRPr="00F55A3B" w:rsidRDefault="001E7C74" w:rsidP="00F52B13">
            <w:pPr>
              <w:pStyle w:val="DefaultText"/>
              <w:tabs>
                <w:tab w:val="right" w:pos="720"/>
              </w:tabs>
              <w:spacing w:after="120"/>
              <w:ind w:firstLine="0"/>
              <w:jc w:val="center"/>
              <w:rPr>
                <w:b/>
                <w:bCs/>
                <w:sz w:val="20"/>
                <w:u w:val="single"/>
              </w:rPr>
            </w:pPr>
            <w:r w:rsidRPr="00F55A3B">
              <w:rPr>
                <w:b/>
                <w:bCs/>
                <w:sz w:val="20"/>
                <w:u w:val="single"/>
              </w:rPr>
              <w:lastRenderedPageBreak/>
              <w:t>Four-Year Universities and Colleges</w:t>
            </w:r>
          </w:p>
        </w:tc>
      </w:tr>
      <w:tr w:rsidR="00E5378E" w:rsidRPr="00C42008" w:rsidTr="00F55A3B">
        <w:trPr>
          <w:trHeight w:val="154"/>
        </w:trPr>
        <w:tc>
          <w:tcPr>
            <w:tcW w:w="1998" w:type="dxa"/>
            <w:gridSpan w:val="2"/>
          </w:tcPr>
          <w:p w:rsidR="00D674EA" w:rsidRPr="00F55A3B" w:rsidRDefault="00D674EA" w:rsidP="00F52B13">
            <w:pPr>
              <w:pStyle w:val="DefaultText"/>
              <w:tabs>
                <w:tab w:val="right" w:pos="720"/>
              </w:tabs>
              <w:ind w:firstLine="0"/>
              <w:rPr>
                <w:sz w:val="20"/>
              </w:rPr>
            </w:pPr>
            <w:r w:rsidRPr="00F55A3B">
              <w:rPr>
                <w:sz w:val="20"/>
                <w:u w:val="single"/>
              </w:rPr>
              <w:t>Category/Code</w:t>
            </w:r>
          </w:p>
        </w:tc>
        <w:tc>
          <w:tcPr>
            <w:tcW w:w="8529" w:type="dxa"/>
          </w:tcPr>
          <w:p w:rsidR="00D674EA" w:rsidRPr="00F55A3B" w:rsidRDefault="00D674EA" w:rsidP="00F52B13">
            <w:pPr>
              <w:pStyle w:val="DefaultText"/>
              <w:tabs>
                <w:tab w:val="right" w:pos="720"/>
              </w:tabs>
              <w:spacing w:after="120"/>
              <w:ind w:firstLine="0"/>
              <w:rPr>
                <w:sz w:val="20"/>
                <w:u w:val="single"/>
              </w:rPr>
            </w:pPr>
            <w:r w:rsidRPr="00F55A3B">
              <w:rPr>
                <w:sz w:val="20"/>
                <w:u w:val="single"/>
              </w:rPr>
              <w:t>Definitions</w:t>
            </w:r>
          </w:p>
        </w:tc>
      </w:tr>
      <w:tr w:rsidR="00D674EA" w:rsidRPr="00C42008" w:rsidTr="00F55A3B">
        <w:trPr>
          <w:trHeight w:val="487"/>
        </w:trPr>
        <w:tc>
          <w:tcPr>
            <w:tcW w:w="1998" w:type="dxa"/>
            <w:gridSpan w:val="2"/>
          </w:tcPr>
          <w:p w:rsidR="00D674EA" w:rsidRPr="00F55A3B" w:rsidRDefault="00D674EA" w:rsidP="00F52B13">
            <w:pPr>
              <w:pStyle w:val="DefaultText"/>
              <w:tabs>
                <w:tab w:val="right" w:pos="720"/>
              </w:tabs>
              <w:ind w:firstLine="0"/>
              <w:rPr>
                <w:sz w:val="20"/>
              </w:rPr>
            </w:pPr>
            <w:r w:rsidRPr="00F55A3B">
              <w:rPr>
                <w:sz w:val="20"/>
              </w:rPr>
              <w:t>Four-Year 1</w:t>
            </w:r>
          </w:p>
          <w:p w:rsidR="00D674EA" w:rsidRPr="00F55A3B" w:rsidRDefault="00D674EA" w:rsidP="00F52B13">
            <w:pPr>
              <w:pStyle w:val="DefaultText"/>
              <w:tabs>
                <w:tab w:val="right" w:pos="720"/>
              </w:tabs>
              <w:ind w:firstLine="0"/>
              <w:rPr>
                <w:sz w:val="20"/>
              </w:rPr>
            </w:pPr>
            <w:r w:rsidRPr="00F55A3B">
              <w:rPr>
                <w:sz w:val="20"/>
              </w:rPr>
              <w:tab/>
              <w:t>(1)</w:t>
            </w:r>
          </w:p>
        </w:tc>
        <w:tc>
          <w:tcPr>
            <w:tcW w:w="8529" w:type="dxa"/>
          </w:tcPr>
          <w:p w:rsidR="00D674EA" w:rsidRPr="00F55A3B" w:rsidRDefault="00D674EA" w:rsidP="00F52B13">
            <w:pPr>
              <w:pStyle w:val="DefaultText"/>
              <w:tabs>
                <w:tab w:val="right" w:pos="720"/>
              </w:tabs>
              <w:spacing w:after="180"/>
              <w:ind w:firstLine="0"/>
              <w:rPr>
                <w:sz w:val="20"/>
              </w:rPr>
            </w:pPr>
            <w:r w:rsidRPr="00F55A3B">
              <w:rPr>
                <w:sz w:val="20"/>
              </w:rPr>
              <w:t xml:space="preserve">Institutions awarding at least 100 </w:t>
            </w:r>
            <w:r w:rsidR="006B7CFB">
              <w:rPr>
                <w:sz w:val="20"/>
              </w:rPr>
              <w:t xml:space="preserve">research/scholarship </w:t>
            </w:r>
            <w:r w:rsidRPr="00F55A3B">
              <w:rPr>
                <w:sz w:val="20"/>
              </w:rPr>
              <w:t>doctoral degrees that are distributed among at least 10 CIP categories (2-digit classification) with no more than 50 percent in any one category.</w:t>
            </w:r>
          </w:p>
        </w:tc>
      </w:tr>
      <w:tr w:rsidR="00D674EA" w:rsidRPr="00C42008" w:rsidTr="00F55A3B">
        <w:trPr>
          <w:trHeight w:val="385"/>
        </w:trPr>
        <w:tc>
          <w:tcPr>
            <w:tcW w:w="1998" w:type="dxa"/>
            <w:gridSpan w:val="2"/>
          </w:tcPr>
          <w:p w:rsidR="00D674EA" w:rsidRPr="00F55A3B" w:rsidRDefault="00D674EA" w:rsidP="00F52B13">
            <w:pPr>
              <w:pStyle w:val="DefaultText"/>
              <w:tabs>
                <w:tab w:val="right" w:pos="720"/>
              </w:tabs>
              <w:ind w:firstLine="0"/>
              <w:rPr>
                <w:sz w:val="20"/>
              </w:rPr>
            </w:pPr>
            <w:r w:rsidRPr="00F55A3B">
              <w:rPr>
                <w:sz w:val="20"/>
              </w:rPr>
              <w:t>Four-Year 2</w:t>
            </w:r>
          </w:p>
          <w:p w:rsidR="00D674EA" w:rsidRPr="00F55A3B" w:rsidRDefault="00D674EA" w:rsidP="00F52B13">
            <w:pPr>
              <w:pStyle w:val="DefaultText"/>
              <w:tabs>
                <w:tab w:val="right" w:pos="720"/>
              </w:tabs>
              <w:ind w:firstLine="0"/>
              <w:rPr>
                <w:sz w:val="20"/>
                <w:u w:val="single"/>
              </w:rPr>
            </w:pPr>
            <w:r w:rsidRPr="00F55A3B">
              <w:rPr>
                <w:sz w:val="20"/>
              </w:rPr>
              <w:tab/>
              <w:t>(2)</w:t>
            </w:r>
          </w:p>
        </w:tc>
        <w:tc>
          <w:tcPr>
            <w:tcW w:w="8529" w:type="dxa"/>
          </w:tcPr>
          <w:p w:rsidR="00D674EA" w:rsidRPr="00F55A3B" w:rsidRDefault="00D674EA" w:rsidP="00F52B13">
            <w:pPr>
              <w:pStyle w:val="DefaultText"/>
              <w:tabs>
                <w:tab w:val="right" w:pos="720"/>
              </w:tabs>
              <w:spacing w:after="180"/>
              <w:ind w:firstLine="0"/>
              <w:rPr>
                <w:sz w:val="20"/>
              </w:rPr>
            </w:pPr>
            <w:r w:rsidRPr="00F55A3B">
              <w:rPr>
                <w:sz w:val="20"/>
              </w:rPr>
              <w:t xml:space="preserve">Institutions awarding at least 30 </w:t>
            </w:r>
            <w:r w:rsidR="006B7CFB">
              <w:rPr>
                <w:sz w:val="20"/>
              </w:rPr>
              <w:t>research/scholarship</w:t>
            </w:r>
            <w:r w:rsidR="006B7CFB" w:rsidRPr="00F55A3B">
              <w:rPr>
                <w:sz w:val="20"/>
              </w:rPr>
              <w:t xml:space="preserve"> </w:t>
            </w:r>
            <w:r w:rsidRPr="00F55A3B">
              <w:rPr>
                <w:sz w:val="20"/>
              </w:rPr>
              <w:t>doctoral degrees that are distributed</w:t>
            </w:r>
            <w:r w:rsidR="003E2B88" w:rsidRPr="00F55A3B">
              <w:rPr>
                <w:sz w:val="20"/>
              </w:rPr>
              <w:t xml:space="preserve"> </w:t>
            </w:r>
            <w:r w:rsidRPr="00F55A3B">
              <w:rPr>
                <w:sz w:val="20"/>
              </w:rPr>
              <w:t>among at least 5 CIP categories (2-digit classification).</w:t>
            </w:r>
          </w:p>
        </w:tc>
      </w:tr>
      <w:tr w:rsidR="00D674EA" w:rsidRPr="00C42008" w:rsidTr="00F55A3B">
        <w:trPr>
          <w:trHeight w:val="487"/>
        </w:trPr>
        <w:tc>
          <w:tcPr>
            <w:tcW w:w="1998" w:type="dxa"/>
            <w:gridSpan w:val="2"/>
          </w:tcPr>
          <w:p w:rsidR="00D674EA" w:rsidRPr="00F55A3B" w:rsidRDefault="00D674EA" w:rsidP="00F52B13">
            <w:pPr>
              <w:pStyle w:val="DefaultText"/>
              <w:tabs>
                <w:tab w:val="right" w:pos="720"/>
              </w:tabs>
              <w:ind w:firstLine="0"/>
              <w:rPr>
                <w:sz w:val="20"/>
              </w:rPr>
            </w:pPr>
            <w:r w:rsidRPr="00F55A3B">
              <w:rPr>
                <w:sz w:val="20"/>
              </w:rPr>
              <w:t>Four-Year 3</w:t>
            </w:r>
          </w:p>
          <w:p w:rsidR="00D674EA" w:rsidRPr="00F55A3B" w:rsidRDefault="00D674EA" w:rsidP="00F52B13">
            <w:pPr>
              <w:pStyle w:val="DefaultText"/>
              <w:tabs>
                <w:tab w:val="right" w:pos="720"/>
              </w:tabs>
              <w:ind w:firstLine="0"/>
              <w:rPr>
                <w:sz w:val="20"/>
                <w:u w:val="single"/>
              </w:rPr>
            </w:pPr>
            <w:r w:rsidRPr="00F55A3B">
              <w:rPr>
                <w:sz w:val="20"/>
              </w:rPr>
              <w:tab/>
              <w:t>(3)</w:t>
            </w:r>
          </w:p>
        </w:tc>
        <w:tc>
          <w:tcPr>
            <w:tcW w:w="8529" w:type="dxa"/>
          </w:tcPr>
          <w:p w:rsidR="00D674EA" w:rsidRPr="00F55A3B" w:rsidRDefault="003E2B88" w:rsidP="00F52B13">
            <w:pPr>
              <w:pStyle w:val="DefaultText"/>
              <w:tabs>
                <w:tab w:val="right" w:pos="720"/>
              </w:tabs>
              <w:spacing w:after="180"/>
              <w:ind w:firstLine="0"/>
              <w:rPr>
                <w:sz w:val="20"/>
              </w:rPr>
            </w:pPr>
            <w:r w:rsidRPr="00F55A3B">
              <w:rPr>
                <w:sz w:val="20"/>
              </w:rPr>
              <w:t xml:space="preserve">Institutions awarding at least 100 </w:t>
            </w:r>
            <w:proofErr w:type="gramStart"/>
            <w:r w:rsidRPr="00F55A3B">
              <w:rPr>
                <w:sz w:val="20"/>
              </w:rPr>
              <w:t>master's</w:t>
            </w:r>
            <w:proofErr w:type="gramEnd"/>
            <w:r w:rsidRPr="00F55A3B">
              <w:rPr>
                <w:sz w:val="20"/>
              </w:rPr>
              <w:t>, education specialist, post-master's or doctoral degrees with</w:t>
            </w:r>
            <w:r w:rsidR="007A3371" w:rsidRPr="00F55A3B">
              <w:rPr>
                <w:sz w:val="20"/>
              </w:rPr>
              <w:t xml:space="preserve"> master's, education specialist</w:t>
            </w:r>
            <w:r w:rsidRPr="00F55A3B">
              <w:rPr>
                <w:sz w:val="20"/>
              </w:rPr>
              <w:t xml:space="preserve"> and post-master's degrees distributed among at least 10 CIP categories (2-digit classification).</w:t>
            </w:r>
          </w:p>
        </w:tc>
      </w:tr>
      <w:tr w:rsidR="00D674EA" w:rsidRPr="00C42008" w:rsidTr="00F55A3B">
        <w:trPr>
          <w:trHeight w:val="487"/>
        </w:trPr>
        <w:tc>
          <w:tcPr>
            <w:tcW w:w="1998" w:type="dxa"/>
            <w:gridSpan w:val="2"/>
          </w:tcPr>
          <w:p w:rsidR="00D674EA" w:rsidRPr="00F55A3B" w:rsidRDefault="00D674EA" w:rsidP="00F52B13">
            <w:pPr>
              <w:pStyle w:val="DefaultText"/>
              <w:tabs>
                <w:tab w:val="right" w:pos="720"/>
              </w:tabs>
              <w:ind w:firstLine="0"/>
              <w:rPr>
                <w:sz w:val="20"/>
              </w:rPr>
            </w:pPr>
            <w:r w:rsidRPr="00F55A3B">
              <w:rPr>
                <w:sz w:val="20"/>
              </w:rPr>
              <w:t>Four-Year 4</w:t>
            </w:r>
          </w:p>
          <w:p w:rsidR="00D674EA" w:rsidRPr="00F55A3B" w:rsidRDefault="00D674EA" w:rsidP="00F52B13">
            <w:pPr>
              <w:pStyle w:val="DefaultText"/>
              <w:tabs>
                <w:tab w:val="right" w:pos="720"/>
              </w:tabs>
              <w:ind w:firstLine="0"/>
              <w:rPr>
                <w:sz w:val="20"/>
                <w:u w:val="single"/>
              </w:rPr>
            </w:pPr>
            <w:r w:rsidRPr="00F55A3B">
              <w:rPr>
                <w:sz w:val="20"/>
              </w:rPr>
              <w:tab/>
              <w:t>(4)</w:t>
            </w:r>
          </w:p>
        </w:tc>
        <w:tc>
          <w:tcPr>
            <w:tcW w:w="8529" w:type="dxa"/>
          </w:tcPr>
          <w:p w:rsidR="00D674EA" w:rsidRPr="00F55A3B" w:rsidRDefault="003E2B88" w:rsidP="00F52B13">
            <w:pPr>
              <w:pStyle w:val="DefaultText"/>
              <w:tabs>
                <w:tab w:val="right" w:pos="720"/>
              </w:tabs>
              <w:spacing w:after="180"/>
              <w:ind w:firstLine="0"/>
              <w:rPr>
                <w:sz w:val="20"/>
                <w:u w:val="single"/>
              </w:rPr>
            </w:pPr>
            <w:r w:rsidRPr="00F55A3B">
              <w:rPr>
                <w:sz w:val="20"/>
              </w:rPr>
              <w:t xml:space="preserve">Institutions awarding at least 30 </w:t>
            </w:r>
            <w:proofErr w:type="gramStart"/>
            <w:r w:rsidRPr="00F55A3B">
              <w:rPr>
                <w:sz w:val="20"/>
              </w:rPr>
              <w:t>master's</w:t>
            </w:r>
            <w:proofErr w:type="gramEnd"/>
            <w:r w:rsidRPr="00F55A3B">
              <w:rPr>
                <w:sz w:val="20"/>
              </w:rPr>
              <w:t>, educa</w:t>
            </w:r>
            <w:r w:rsidR="007A3371" w:rsidRPr="00F55A3B">
              <w:rPr>
                <w:sz w:val="20"/>
              </w:rPr>
              <w:t xml:space="preserve">tion specialist, post-master's </w:t>
            </w:r>
            <w:r w:rsidRPr="00F55A3B">
              <w:rPr>
                <w:sz w:val="20"/>
              </w:rPr>
              <w:t>or doctoral degrees with master's, education specialist and post-master's degrees distributed among at least 5 CIP categories (2-digit classification).</w:t>
            </w:r>
          </w:p>
        </w:tc>
      </w:tr>
      <w:tr w:rsidR="00D674EA" w:rsidRPr="00C42008" w:rsidTr="00F55A3B">
        <w:trPr>
          <w:trHeight w:val="282"/>
        </w:trPr>
        <w:tc>
          <w:tcPr>
            <w:tcW w:w="1998" w:type="dxa"/>
            <w:gridSpan w:val="2"/>
          </w:tcPr>
          <w:p w:rsidR="00D674EA" w:rsidRPr="00F55A3B" w:rsidRDefault="00D674EA" w:rsidP="00F52B13">
            <w:pPr>
              <w:pStyle w:val="DefaultText"/>
              <w:tabs>
                <w:tab w:val="right" w:pos="720"/>
              </w:tabs>
              <w:ind w:firstLine="0"/>
              <w:rPr>
                <w:sz w:val="20"/>
              </w:rPr>
            </w:pPr>
            <w:r w:rsidRPr="00F55A3B">
              <w:rPr>
                <w:sz w:val="20"/>
              </w:rPr>
              <w:t>Four-Year 5</w:t>
            </w:r>
          </w:p>
          <w:p w:rsidR="00D674EA" w:rsidRPr="00F55A3B" w:rsidRDefault="00D674EA" w:rsidP="00F52B13">
            <w:pPr>
              <w:pStyle w:val="DefaultText"/>
              <w:tabs>
                <w:tab w:val="right" w:pos="720"/>
              </w:tabs>
              <w:ind w:firstLine="0"/>
              <w:rPr>
                <w:sz w:val="20"/>
                <w:u w:val="single"/>
              </w:rPr>
            </w:pPr>
            <w:r w:rsidRPr="00F55A3B">
              <w:rPr>
                <w:sz w:val="20"/>
              </w:rPr>
              <w:tab/>
              <w:t>(5)</w:t>
            </w:r>
          </w:p>
        </w:tc>
        <w:tc>
          <w:tcPr>
            <w:tcW w:w="8529" w:type="dxa"/>
          </w:tcPr>
          <w:p w:rsidR="00D674EA" w:rsidRPr="00F55A3B" w:rsidRDefault="003E2B88" w:rsidP="00F52B13">
            <w:pPr>
              <w:pStyle w:val="DefaultText"/>
              <w:tabs>
                <w:tab w:val="right" w:pos="720"/>
              </w:tabs>
              <w:spacing w:after="180"/>
              <w:ind w:firstLine="0"/>
              <w:rPr>
                <w:sz w:val="20"/>
              </w:rPr>
            </w:pPr>
            <w:r w:rsidRPr="00F55A3B">
              <w:rPr>
                <w:sz w:val="20"/>
              </w:rPr>
              <w:t xml:space="preserve">Institutions awarding at least 30 </w:t>
            </w:r>
            <w:proofErr w:type="gramStart"/>
            <w:r w:rsidRPr="00F55A3B">
              <w:rPr>
                <w:sz w:val="20"/>
              </w:rPr>
              <w:t>master's</w:t>
            </w:r>
            <w:proofErr w:type="gramEnd"/>
            <w:r w:rsidRPr="00F55A3B">
              <w:rPr>
                <w:sz w:val="20"/>
              </w:rPr>
              <w:t>, education specialist, post-master's or doctoral degrees.</w:t>
            </w:r>
          </w:p>
        </w:tc>
      </w:tr>
      <w:tr w:rsidR="00D674EA" w:rsidRPr="00C42008" w:rsidTr="00F55A3B">
        <w:trPr>
          <w:trHeight w:val="385"/>
        </w:trPr>
        <w:tc>
          <w:tcPr>
            <w:tcW w:w="1998" w:type="dxa"/>
            <w:gridSpan w:val="2"/>
          </w:tcPr>
          <w:p w:rsidR="00D674EA" w:rsidRPr="00F55A3B" w:rsidRDefault="00D674EA" w:rsidP="00F52B13">
            <w:pPr>
              <w:pStyle w:val="DefaultText"/>
              <w:tabs>
                <w:tab w:val="right" w:pos="720"/>
              </w:tabs>
              <w:ind w:firstLine="0"/>
              <w:rPr>
                <w:sz w:val="20"/>
              </w:rPr>
            </w:pPr>
            <w:r w:rsidRPr="00F55A3B">
              <w:rPr>
                <w:sz w:val="20"/>
              </w:rPr>
              <w:t>Four-Year 6</w:t>
            </w:r>
          </w:p>
          <w:p w:rsidR="00D674EA" w:rsidRPr="00F55A3B" w:rsidRDefault="00D674EA" w:rsidP="00F52B13">
            <w:pPr>
              <w:pStyle w:val="DefaultText"/>
              <w:tabs>
                <w:tab w:val="right" w:pos="720"/>
              </w:tabs>
              <w:ind w:firstLine="0"/>
              <w:rPr>
                <w:sz w:val="20"/>
                <w:u w:val="single"/>
              </w:rPr>
            </w:pPr>
            <w:r w:rsidRPr="00F55A3B">
              <w:rPr>
                <w:sz w:val="20"/>
              </w:rPr>
              <w:tab/>
              <w:t>(6)</w:t>
            </w:r>
          </w:p>
        </w:tc>
        <w:tc>
          <w:tcPr>
            <w:tcW w:w="8529" w:type="dxa"/>
          </w:tcPr>
          <w:p w:rsidR="00D674EA" w:rsidRPr="00F55A3B" w:rsidRDefault="007C1DE2" w:rsidP="007B70CF">
            <w:pPr>
              <w:pStyle w:val="DefaultText"/>
              <w:tabs>
                <w:tab w:val="right" w:pos="720"/>
              </w:tabs>
              <w:spacing w:after="180"/>
              <w:ind w:firstLine="0"/>
              <w:rPr>
                <w:sz w:val="20"/>
              </w:rPr>
            </w:pPr>
            <w:r w:rsidRPr="00F55A3B">
              <w:rPr>
                <w:sz w:val="20"/>
              </w:rPr>
              <w:t xml:space="preserve">Institutions awarding </w:t>
            </w:r>
            <w:r w:rsidR="001A6A13" w:rsidRPr="00F55A3B">
              <w:rPr>
                <w:sz w:val="20"/>
              </w:rPr>
              <w:t xml:space="preserve">at least 100 </w:t>
            </w:r>
            <w:r w:rsidRPr="00F55A3B">
              <w:rPr>
                <w:sz w:val="20"/>
              </w:rPr>
              <w:t>bachelor’s degrees</w:t>
            </w:r>
            <w:r w:rsidR="001A6A13" w:rsidRPr="00F55A3B">
              <w:rPr>
                <w:sz w:val="20"/>
              </w:rPr>
              <w:t xml:space="preserve"> </w:t>
            </w:r>
            <w:r w:rsidR="001A6A13" w:rsidRPr="000F1041">
              <w:rPr>
                <w:sz w:val="20"/>
              </w:rPr>
              <w:t>that are distributed among at least 5 CIP categories</w:t>
            </w:r>
            <w:r w:rsidR="001A6A13" w:rsidRPr="00F55A3B">
              <w:rPr>
                <w:sz w:val="20"/>
              </w:rPr>
              <w:t xml:space="preserve"> (2-digit classification) with bachelor’s degrees being at least </w:t>
            </w:r>
            <w:r w:rsidR="00334012" w:rsidRPr="00F55A3B">
              <w:rPr>
                <w:sz w:val="20"/>
              </w:rPr>
              <w:t xml:space="preserve">30 </w:t>
            </w:r>
            <w:r w:rsidR="001A6A13" w:rsidRPr="00F55A3B">
              <w:rPr>
                <w:sz w:val="20"/>
              </w:rPr>
              <w:t>percent of the total awards (including certificates)</w:t>
            </w:r>
            <w:r w:rsidRPr="00F55A3B">
              <w:rPr>
                <w:sz w:val="20"/>
              </w:rPr>
              <w:t xml:space="preserve"> and </w:t>
            </w:r>
            <w:r w:rsidR="001A6A13" w:rsidRPr="00F55A3B">
              <w:rPr>
                <w:sz w:val="20"/>
              </w:rPr>
              <w:t xml:space="preserve">awarding </w:t>
            </w:r>
            <w:r w:rsidR="00251735" w:rsidRPr="00F55A3B">
              <w:rPr>
                <w:sz w:val="20"/>
              </w:rPr>
              <w:t xml:space="preserve">fewer </w:t>
            </w:r>
            <w:r w:rsidRPr="00F55A3B">
              <w:rPr>
                <w:sz w:val="20"/>
              </w:rPr>
              <w:t>than 30 master's, education specialist, post-master's or doctoral degrees.</w:t>
            </w:r>
          </w:p>
        </w:tc>
      </w:tr>
      <w:tr w:rsidR="00157E45" w:rsidRPr="00C42008" w:rsidTr="00F52B13">
        <w:trPr>
          <w:trHeight w:val="154"/>
        </w:trPr>
        <w:tc>
          <w:tcPr>
            <w:tcW w:w="10527" w:type="dxa"/>
            <w:gridSpan w:val="3"/>
          </w:tcPr>
          <w:p w:rsidR="00157E45" w:rsidRPr="00F55A3B" w:rsidRDefault="00157E45" w:rsidP="00F52B13">
            <w:pPr>
              <w:pStyle w:val="DefaultText"/>
              <w:tabs>
                <w:tab w:val="right" w:pos="720"/>
              </w:tabs>
              <w:spacing w:after="120"/>
              <w:ind w:firstLine="0"/>
              <w:jc w:val="center"/>
              <w:rPr>
                <w:b/>
                <w:bCs/>
                <w:sz w:val="20"/>
              </w:rPr>
            </w:pPr>
            <w:r w:rsidRPr="00F55A3B">
              <w:rPr>
                <w:b/>
                <w:bCs/>
                <w:sz w:val="20"/>
                <w:u w:val="single"/>
              </w:rPr>
              <w:t>Two-Year Colleges</w:t>
            </w:r>
          </w:p>
        </w:tc>
      </w:tr>
      <w:tr w:rsidR="00283F1D" w:rsidRPr="00C42008" w:rsidTr="00F55A3B">
        <w:trPr>
          <w:trHeight w:val="359"/>
        </w:trPr>
        <w:tc>
          <w:tcPr>
            <w:tcW w:w="1998" w:type="dxa"/>
            <w:gridSpan w:val="2"/>
          </w:tcPr>
          <w:p w:rsidR="00283F1D" w:rsidRPr="00F55A3B" w:rsidRDefault="00283F1D" w:rsidP="00F52B13">
            <w:pPr>
              <w:pStyle w:val="DefaultText"/>
              <w:tabs>
                <w:tab w:val="right" w:pos="720"/>
              </w:tabs>
              <w:ind w:firstLine="0"/>
              <w:rPr>
                <w:sz w:val="20"/>
              </w:rPr>
            </w:pPr>
            <w:r w:rsidRPr="00F55A3B">
              <w:rPr>
                <w:sz w:val="20"/>
              </w:rPr>
              <w:t>Two-Year with Bachelor’s</w:t>
            </w:r>
          </w:p>
          <w:p w:rsidR="00492F63" w:rsidRPr="00F55A3B" w:rsidRDefault="00492F63" w:rsidP="00F52B13">
            <w:pPr>
              <w:pStyle w:val="DefaultText"/>
              <w:tabs>
                <w:tab w:val="right" w:pos="720"/>
              </w:tabs>
              <w:ind w:firstLine="0"/>
              <w:rPr>
                <w:sz w:val="20"/>
              </w:rPr>
            </w:pPr>
            <w:r w:rsidRPr="00F55A3B">
              <w:rPr>
                <w:sz w:val="20"/>
              </w:rPr>
              <w:tab/>
              <w:t>(7)</w:t>
            </w:r>
          </w:p>
        </w:tc>
        <w:tc>
          <w:tcPr>
            <w:tcW w:w="8529" w:type="dxa"/>
          </w:tcPr>
          <w:p w:rsidR="00283F1D" w:rsidRPr="00F55A3B" w:rsidRDefault="001E7C74" w:rsidP="00F52B13">
            <w:pPr>
              <w:pStyle w:val="DefaultText"/>
              <w:tabs>
                <w:tab w:val="right" w:pos="720"/>
              </w:tabs>
              <w:spacing w:after="120"/>
              <w:ind w:firstLine="0"/>
              <w:rPr>
                <w:sz w:val="20"/>
              </w:rPr>
            </w:pPr>
            <w:r w:rsidRPr="00F55A3B">
              <w:rPr>
                <w:sz w:val="20"/>
              </w:rPr>
              <w:t xml:space="preserve">Institutions awarding primarily </w:t>
            </w:r>
            <w:r w:rsidR="007A3371" w:rsidRPr="00F55A3B">
              <w:rPr>
                <w:sz w:val="20"/>
              </w:rPr>
              <w:t>associate’s</w:t>
            </w:r>
            <w:r w:rsidRPr="00F55A3B">
              <w:rPr>
                <w:sz w:val="20"/>
              </w:rPr>
              <w:t xml:space="preserve"> degrees and offering college transfer courses; some bachelor’s degrees may also be awarded.</w:t>
            </w:r>
          </w:p>
        </w:tc>
      </w:tr>
      <w:tr w:rsidR="00283F1D" w:rsidRPr="00C42008" w:rsidTr="00F55A3B">
        <w:trPr>
          <w:trHeight w:val="461"/>
        </w:trPr>
        <w:tc>
          <w:tcPr>
            <w:tcW w:w="1998" w:type="dxa"/>
            <w:gridSpan w:val="2"/>
          </w:tcPr>
          <w:p w:rsidR="00283F1D" w:rsidRPr="00F55A3B" w:rsidRDefault="007B42DA" w:rsidP="00F52B13">
            <w:pPr>
              <w:pStyle w:val="DefaultText"/>
              <w:tabs>
                <w:tab w:val="right" w:pos="720"/>
              </w:tabs>
              <w:ind w:firstLine="0"/>
              <w:rPr>
                <w:sz w:val="20"/>
              </w:rPr>
            </w:pPr>
            <w:r w:rsidRPr="00F55A3B">
              <w:rPr>
                <w:sz w:val="20"/>
              </w:rPr>
              <w:t>Two-Year 1</w:t>
            </w:r>
          </w:p>
          <w:p w:rsidR="00492F63" w:rsidRPr="00F55A3B" w:rsidRDefault="00492F63" w:rsidP="00F52B13">
            <w:pPr>
              <w:pStyle w:val="DefaultText"/>
              <w:tabs>
                <w:tab w:val="right" w:pos="720"/>
              </w:tabs>
              <w:ind w:firstLine="0"/>
              <w:rPr>
                <w:sz w:val="20"/>
              </w:rPr>
            </w:pPr>
            <w:r w:rsidRPr="00F55A3B">
              <w:rPr>
                <w:sz w:val="20"/>
              </w:rPr>
              <w:tab/>
              <w:t>(8)</w:t>
            </w:r>
          </w:p>
        </w:tc>
        <w:tc>
          <w:tcPr>
            <w:tcW w:w="8529" w:type="dxa"/>
          </w:tcPr>
          <w:p w:rsidR="00283F1D" w:rsidRPr="00F55A3B" w:rsidRDefault="001E7C74" w:rsidP="00F52B13">
            <w:pPr>
              <w:pStyle w:val="DefaultText"/>
              <w:tabs>
                <w:tab w:val="right" w:pos="720"/>
              </w:tabs>
              <w:spacing w:after="120"/>
              <w:ind w:firstLine="0"/>
              <w:rPr>
                <w:sz w:val="20"/>
              </w:rPr>
            </w:pPr>
            <w:r w:rsidRPr="00F55A3B">
              <w:rPr>
                <w:sz w:val="20"/>
              </w:rPr>
              <w:t xml:space="preserve">Institutions awarding </w:t>
            </w:r>
            <w:r w:rsidR="007A3371" w:rsidRPr="00F55A3B">
              <w:rPr>
                <w:sz w:val="20"/>
              </w:rPr>
              <w:t>associate’s</w:t>
            </w:r>
            <w:r w:rsidRPr="00F55A3B">
              <w:rPr>
                <w:sz w:val="20"/>
              </w:rPr>
              <w:t xml:space="preserve"> degrees and offering college transfer</w:t>
            </w:r>
            <w:r w:rsidR="009C2897" w:rsidRPr="00F55A3B">
              <w:rPr>
                <w:sz w:val="20"/>
              </w:rPr>
              <w:t xml:space="preserve"> </w:t>
            </w:r>
            <w:r w:rsidRPr="00F55A3B">
              <w:rPr>
                <w:sz w:val="20"/>
              </w:rPr>
              <w:t>courses with FTE enrollment of 5,000 or more; some certificates and diplomas may also be awarded.</w:t>
            </w:r>
          </w:p>
        </w:tc>
      </w:tr>
      <w:tr w:rsidR="00283F1D" w:rsidRPr="00C42008" w:rsidTr="00F55A3B">
        <w:trPr>
          <w:trHeight w:val="461"/>
        </w:trPr>
        <w:tc>
          <w:tcPr>
            <w:tcW w:w="1998" w:type="dxa"/>
            <w:gridSpan w:val="2"/>
          </w:tcPr>
          <w:p w:rsidR="00492F63" w:rsidRPr="00F55A3B" w:rsidRDefault="007B42DA" w:rsidP="00F52B13">
            <w:pPr>
              <w:pStyle w:val="DefaultText"/>
              <w:tabs>
                <w:tab w:val="right" w:pos="720"/>
              </w:tabs>
              <w:ind w:firstLine="0"/>
              <w:rPr>
                <w:sz w:val="20"/>
              </w:rPr>
            </w:pPr>
            <w:r w:rsidRPr="00F55A3B">
              <w:rPr>
                <w:sz w:val="20"/>
              </w:rPr>
              <w:t>Two-Year 2</w:t>
            </w:r>
          </w:p>
          <w:p w:rsidR="00283F1D" w:rsidRPr="00F55A3B" w:rsidRDefault="00492F63" w:rsidP="00F52B13">
            <w:pPr>
              <w:pStyle w:val="DefaultText"/>
              <w:tabs>
                <w:tab w:val="right" w:pos="720"/>
              </w:tabs>
              <w:ind w:firstLine="0"/>
              <w:rPr>
                <w:sz w:val="20"/>
              </w:rPr>
            </w:pPr>
            <w:r w:rsidRPr="00F55A3B">
              <w:rPr>
                <w:sz w:val="20"/>
              </w:rPr>
              <w:tab/>
              <w:t>(9)</w:t>
            </w:r>
          </w:p>
        </w:tc>
        <w:tc>
          <w:tcPr>
            <w:tcW w:w="8529" w:type="dxa"/>
          </w:tcPr>
          <w:p w:rsidR="00283F1D" w:rsidRPr="00F55A3B" w:rsidRDefault="001E7C74" w:rsidP="00F52B13">
            <w:pPr>
              <w:pStyle w:val="DefaultText"/>
              <w:tabs>
                <w:tab w:val="right" w:pos="720"/>
              </w:tabs>
              <w:spacing w:after="120"/>
              <w:ind w:firstLine="0"/>
              <w:rPr>
                <w:sz w:val="20"/>
              </w:rPr>
            </w:pPr>
            <w:r w:rsidRPr="00F55A3B">
              <w:rPr>
                <w:sz w:val="20"/>
              </w:rPr>
              <w:t xml:space="preserve">Institutions awarding </w:t>
            </w:r>
            <w:r w:rsidR="007A3371" w:rsidRPr="00F55A3B">
              <w:rPr>
                <w:sz w:val="20"/>
              </w:rPr>
              <w:t>associate’s</w:t>
            </w:r>
            <w:r w:rsidRPr="00F55A3B">
              <w:rPr>
                <w:sz w:val="20"/>
              </w:rPr>
              <w:t xml:space="preserve"> degrees and offering college transfer</w:t>
            </w:r>
            <w:r w:rsidR="009C2897" w:rsidRPr="00F55A3B">
              <w:rPr>
                <w:sz w:val="20"/>
              </w:rPr>
              <w:t xml:space="preserve"> </w:t>
            </w:r>
            <w:r w:rsidRPr="00F55A3B">
              <w:rPr>
                <w:sz w:val="20"/>
              </w:rPr>
              <w:t>courses with FTE enrollment of between 2,000 and 4,999; some certificates and diplomas may also be awarded.</w:t>
            </w:r>
          </w:p>
        </w:tc>
      </w:tr>
      <w:tr w:rsidR="00283F1D" w:rsidRPr="00C42008" w:rsidTr="00F55A3B">
        <w:trPr>
          <w:trHeight w:val="461"/>
        </w:trPr>
        <w:tc>
          <w:tcPr>
            <w:tcW w:w="1998" w:type="dxa"/>
            <w:gridSpan w:val="2"/>
          </w:tcPr>
          <w:p w:rsidR="00492F63" w:rsidRPr="00F55A3B" w:rsidRDefault="007B42DA" w:rsidP="00F52B13">
            <w:pPr>
              <w:pStyle w:val="DefaultText"/>
              <w:tabs>
                <w:tab w:val="right" w:pos="720"/>
              </w:tabs>
              <w:ind w:firstLine="0"/>
              <w:rPr>
                <w:sz w:val="20"/>
              </w:rPr>
            </w:pPr>
            <w:r w:rsidRPr="00F55A3B">
              <w:rPr>
                <w:sz w:val="20"/>
              </w:rPr>
              <w:t>Two-Year 3</w:t>
            </w:r>
          </w:p>
          <w:p w:rsidR="00283F1D" w:rsidRPr="00F55A3B" w:rsidRDefault="00492F63" w:rsidP="00F52B13">
            <w:pPr>
              <w:pStyle w:val="DefaultText"/>
              <w:tabs>
                <w:tab w:val="right" w:pos="720"/>
              </w:tabs>
              <w:ind w:firstLine="0"/>
              <w:rPr>
                <w:sz w:val="20"/>
              </w:rPr>
            </w:pPr>
            <w:r w:rsidRPr="00F55A3B">
              <w:rPr>
                <w:sz w:val="20"/>
              </w:rPr>
              <w:tab/>
              <w:t>(10)</w:t>
            </w:r>
          </w:p>
        </w:tc>
        <w:tc>
          <w:tcPr>
            <w:tcW w:w="8529" w:type="dxa"/>
          </w:tcPr>
          <w:p w:rsidR="00283F1D" w:rsidRPr="00F55A3B" w:rsidRDefault="001E7C74" w:rsidP="00F52B13">
            <w:pPr>
              <w:pStyle w:val="DefaultText"/>
              <w:tabs>
                <w:tab w:val="right" w:pos="720"/>
              </w:tabs>
              <w:spacing w:after="120"/>
              <w:ind w:firstLine="0"/>
              <w:rPr>
                <w:sz w:val="20"/>
              </w:rPr>
            </w:pPr>
            <w:r w:rsidRPr="00F55A3B">
              <w:rPr>
                <w:sz w:val="20"/>
              </w:rPr>
              <w:t xml:space="preserve">Institutions awarding </w:t>
            </w:r>
            <w:r w:rsidR="007A3371" w:rsidRPr="00F55A3B">
              <w:rPr>
                <w:sz w:val="20"/>
              </w:rPr>
              <w:t>associate’s</w:t>
            </w:r>
            <w:r w:rsidRPr="00F55A3B">
              <w:rPr>
                <w:sz w:val="20"/>
              </w:rPr>
              <w:t xml:space="preserve"> degrees and offering college transfer</w:t>
            </w:r>
            <w:r w:rsidR="009C2897" w:rsidRPr="00F55A3B">
              <w:rPr>
                <w:sz w:val="20"/>
              </w:rPr>
              <w:t xml:space="preserve"> </w:t>
            </w:r>
            <w:r w:rsidRPr="00F55A3B">
              <w:rPr>
                <w:sz w:val="20"/>
              </w:rPr>
              <w:t>courses with FTE enrollment of less than 2,000; some certificates and diplomas may also be awarded.</w:t>
            </w:r>
          </w:p>
          <w:p w:rsidR="00B9094D" w:rsidRPr="00F55A3B" w:rsidRDefault="00B9094D" w:rsidP="00F52B13">
            <w:pPr>
              <w:pStyle w:val="DefaultText"/>
              <w:tabs>
                <w:tab w:val="right" w:pos="720"/>
              </w:tabs>
              <w:spacing w:after="120"/>
              <w:ind w:firstLine="0"/>
              <w:rPr>
                <w:sz w:val="20"/>
              </w:rPr>
            </w:pPr>
          </w:p>
        </w:tc>
      </w:tr>
      <w:tr w:rsidR="001E7C74" w:rsidRPr="00C42008" w:rsidTr="00F52B13">
        <w:trPr>
          <w:trHeight w:val="154"/>
        </w:trPr>
        <w:tc>
          <w:tcPr>
            <w:tcW w:w="10527" w:type="dxa"/>
            <w:gridSpan w:val="3"/>
          </w:tcPr>
          <w:p w:rsidR="001E7C74" w:rsidRPr="00F55A3B" w:rsidRDefault="001E7C74" w:rsidP="00F52B13">
            <w:pPr>
              <w:pStyle w:val="DefaultText"/>
              <w:tabs>
                <w:tab w:val="right" w:pos="720"/>
              </w:tabs>
              <w:spacing w:after="120"/>
              <w:ind w:firstLine="0"/>
              <w:jc w:val="center"/>
              <w:rPr>
                <w:b/>
                <w:bCs/>
                <w:sz w:val="20"/>
                <w:u w:val="single"/>
              </w:rPr>
            </w:pPr>
            <w:r w:rsidRPr="00F55A3B">
              <w:rPr>
                <w:b/>
                <w:bCs/>
                <w:sz w:val="20"/>
                <w:u w:val="single"/>
              </w:rPr>
              <w:t>Technical Institutes or Colleges</w:t>
            </w:r>
          </w:p>
        </w:tc>
      </w:tr>
      <w:tr w:rsidR="00283F1D" w:rsidRPr="00C42008" w:rsidTr="00F55A3B">
        <w:trPr>
          <w:trHeight w:val="461"/>
        </w:trPr>
        <w:tc>
          <w:tcPr>
            <w:tcW w:w="1908" w:type="dxa"/>
          </w:tcPr>
          <w:p w:rsidR="00492F63" w:rsidRPr="00F55A3B" w:rsidRDefault="007B42DA" w:rsidP="00F52B13">
            <w:pPr>
              <w:pStyle w:val="DefaultText"/>
              <w:tabs>
                <w:tab w:val="right" w:pos="720"/>
              </w:tabs>
              <w:ind w:firstLine="0"/>
              <w:rPr>
                <w:sz w:val="20"/>
              </w:rPr>
            </w:pPr>
            <w:r w:rsidRPr="00F55A3B">
              <w:rPr>
                <w:sz w:val="20"/>
              </w:rPr>
              <w:t>Technical Institute or College 1</w:t>
            </w:r>
          </w:p>
          <w:p w:rsidR="00283F1D" w:rsidRPr="00F55A3B" w:rsidRDefault="00492F63" w:rsidP="00F52B13">
            <w:pPr>
              <w:pStyle w:val="DefaultText"/>
              <w:tabs>
                <w:tab w:val="right" w:pos="720"/>
              </w:tabs>
              <w:ind w:firstLine="0"/>
              <w:rPr>
                <w:sz w:val="20"/>
              </w:rPr>
            </w:pPr>
            <w:r w:rsidRPr="00F55A3B">
              <w:rPr>
                <w:sz w:val="20"/>
              </w:rPr>
              <w:tab/>
              <w:t>(12)</w:t>
            </w:r>
          </w:p>
          <w:p w:rsidR="00F55A3B" w:rsidRPr="00F55A3B" w:rsidRDefault="00F55A3B" w:rsidP="00F52B13">
            <w:pPr>
              <w:pStyle w:val="DefaultText"/>
              <w:tabs>
                <w:tab w:val="right" w:pos="720"/>
              </w:tabs>
              <w:ind w:firstLine="0"/>
              <w:rPr>
                <w:sz w:val="20"/>
              </w:rPr>
            </w:pPr>
          </w:p>
        </w:tc>
        <w:tc>
          <w:tcPr>
            <w:tcW w:w="8619" w:type="dxa"/>
            <w:gridSpan w:val="2"/>
          </w:tcPr>
          <w:p w:rsidR="00283F1D" w:rsidRPr="00F55A3B" w:rsidRDefault="001E7C74" w:rsidP="00F52B13">
            <w:pPr>
              <w:pStyle w:val="DefaultText"/>
              <w:tabs>
                <w:tab w:val="right" w:pos="720"/>
              </w:tabs>
              <w:spacing w:after="120"/>
              <w:ind w:firstLine="0"/>
              <w:rPr>
                <w:sz w:val="20"/>
              </w:rPr>
            </w:pPr>
            <w:r w:rsidRPr="00F55A3B">
              <w:rPr>
                <w:sz w:val="20"/>
              </w:rPr>
              <w:t>Institutions awarding vocational-technical certificates and diplomas</w:t>
            </w:r>
            <w:r w:rsidR="009C2897" w:rsidRPr="00F55A3B">
              <w:rPr>
                <w:sz w:val="20"/>
              </w:rPr>
              <w:t xml:space="preserve"> w</w:t>
            </w:r>
            <w:r w:rsidRPr="00F55A3B">
              <w:rPr>
                <w:sz w:val="20"/>
              </w:rPr>
              <w:t>ith FTE enrollment of 1,000 or more; some vocational-technical</w:t>
            </w:r>
            <w:r w:rsidR="009C2897" w:rsidRPr="00F55A3B">
              <w:rPr>
                <w:sz w:val="20"/>
              </w:rPr>
              <w:t xml:space="preserve"> </w:t>
            </w:r>
            <w:r w:rsidR="007A3371" w:rsidRPr="00F55A3B">
              <w:rPr>
                <w:sz w:val="20"/>
              </w:rPr>
              <w:t>associate’s</w:t>
            </w:r>
            <w:r w:rsidRPr="00F55A3B">
              <w:rPr>
                <w:sz w:val="20"/>
              </w:rPr>
              <w:t xml:space="preserve"> degrees may also be awarded.</w:t>
            </w:r>
          </w:p>
        </w:tc>
      </w:tr>
      <w:tr w:rsidR="00283F1D" w:rsidRPr="00C42008" w:rsidTr="00F55A3B">
        <w:trPr>
          <w:trHeight w:val="461"/>
        </w:trPr>
        <w:tc>
          <w:tcPr>
            <w:tcW w:w="1908" w:type="dxa"/>
          </w:tcPr>
          <w:p w:rsidR="00492F63" w:rsidRPr="00F55A3B" w:rsidRDefault="007B42DA" w:rsidP="00F52B13">
            <w:pPr>
              <w:pStyle w:val="DefaultText"/>
              <w:tabs>
                <w:tab w:val="right" w:pos="720"/>
              </w:tabs>
              <w:ind w:firstLine="0"/>
              <w:rPr>
                <w:sz w:val="20"/>
              </w:rPr>
            </w:pPr>
            <w:r w:rsidRPr="00F55A3B">
              <w:rPr>
                <w:sz w:val="20"/>
              </w:rPr>
              <w:t xml:space="preserve">Technical Institute or College </w:t>
            </w:r>
            <w:r w:rsidR="0022638A" w:rsidRPr="00F55A3B">
              <w:rPr>
                <w:sz w:val="20"/>
              </w:rPr>
              <w:t>2</w:t>
            </w:r>
          </w:p>
          <w:p w:rsidR="00283F1D" w:rsidRPr="00F55A3B" w:rsidRDefault="00492F63" w:rsidP="00F52B13">
            <w:pPr>
              <w:pStyle w:val="DefaultText"/>
              <w:tabs>
                <w:tab w:val="right" w:pos="720"/>
              </w:tabs>
              <w:ind w:firstLine="0"/>
              <w:rPr>
                <w:sz w:val="20"/>
              </w:rPr>
            </w:pPr>
            <w:r w:rsidRPr="00F55A3B">
              <w:rPr>
                <w:sz w:val="20"/>
              </w:rPr>
              <w:tab/>
              <w:t>(13)</w:t>
            </w:r>
          </w:p>
        </w:tc>
        <w:tc>
          <w:tcPr>
            <w:tcW w:w="8619" w:type="dxa"/>
            <w:gridSpan w:val="2"/>
          </w:tcPr>
          <w:p w:rsidR="00283F1D" w:rsidRPr="00F55A3B" w:rsidRDefault="0022638A" w:rsidP="00F52B13">
            <w:pPr>
              <w:pStyle w:val="DefaultText"/>
              <w:tabs>
                <w:tab w:val="right" w:pos="720"/>
              </w:tabs>
              <w:spacing w:after="120"/>
              <w:ind w:firstLine="0"/>
              <w:rPr>
                <w:sz w:val="20"/>
              </w:rPr>
            </w:pPr>
            <w:r w:rsidRPr="00F55A3B">
              <w:rPr>
                <w:sz w:val="20"/>
              </w:rPr>
              <w:t xml:space="preserve">Institutions awarding vocational-technical certificates and diplomas with FTE enrollment less than 1,000; some vocational-technical </w:t>
            </w:r>
            <w:r w:rsidR="007A3371" w:rsidRPr="00F55A3B">
              <w:rPr>
                <w:sz w:val="20"/>
              </w:rPr>
              <w:t>associate’s</w:t>
            </w:r>
            <w:r w:rsidRPr="00F55A3B">
              <w:rPr>
                <w:sz w:val="20"/>
              </w:rPr>
              <w:t xml:space="preserve"> degrees may also be awarded.</w:t>
            </w:r>
          </w:p>
        </w:tc>
      </w:tr>
      <w:tr w:rsidR="00D674EA" w:rsidRPr="00C42008" w:rsidTr="00F55A3B">
        <w:trPr>
          <w:trHeight w:val="461"/>
        </w:trPr>
        <w:tc>
          <w:tcPr>
            <w:tcW w:w="1908" w:type="dxa"/>
          </w:tcPr>
          <w:p w:rsidR="00492F63" w:rsidRPr="00F55A3B" w:rsidRDefault="007B42DA" w:rsidP="00F52B13">
            <w:pPr>
              <w:pStyle w:val="DefaultText"/>
              <w:tabs>
                <w:tab w:val="right" w:pos="720"/>
              </w:tabs>
              <w:ind w:firstLine="0"/>
              <w:rPr>
                <w:sz w:val="20"/>
              </w:rPr>
            </w:pPr>
            <w:r w:rsidRPr="00F55A3B">
              <w:rPr>
                <w:sz w:val="20"/>
              </w:rPr>
              <w:t xml:space="preserve">Technical Institute or College – </w:t>
            </w:r>
            <w:r w:rsidR="00492F63" w:rsidRPr="00F55A3B">
              <w:rPr>
                <w:sz w:val="20"/>
              </w:rPr>
              <w:br/>
            </w:r>
            <w:r w:rsidRPr="00F55A3B">
              <w:rPr>
                <w:sz w:val="20"/>
              </w:rPr>
              <w:t>size unknown</w:t>
            </w:r>
          </w:p>
          <w:p w:rsidR="00D674EA" w:rsidRPr="00F55A3B" w:rsidRDefault="00492F63" w:rsidP="00F52B13">
            <w:pPr>
              <w:pStyle w:val="DefaultText"/>
              <w:tabs>
                <w:tab w:val="right" w:pos="720"/>
              </w:tabs>
              <w:ind w:firstLine="0"/>
              <w:rPr>
                <w:sz w:val="20"/>
                <w:u w:val="single"/>
              </w:rPr>
            </w:pPr>
            <w:r w:rsidRPr="00F55A3B">
              <w:rPr>
                <w:sz w:val="20"/>
              </w:rPr>
              <w:tab/>
              <w:t>(14)</w:t>
            </w:r>
          </w:p>
        </w:tc>
        <w:tc>
          <w:tcPr>
            <w:tcW w:w="8619" w:type="dxa"/>
            <w:gridSpan w:val="2"/>
          </w:tcPr>
          <w:p w:rsidR="00D674EA" w:rsidRPr="00F55A3B" w:rsidRDefault="0022638A" w:rsidP="00F52B13">
            <w:pPr>
              <w:pStyle w:val="DefaultText"/>
              <w:tabs>
                <w:tab w:val="right" w:pos="720"/>
              </w:tabs>
              <w:spacing w:after="120"/>
              <w:ind w:firstLine="0"/>
              <w:rPr>
                <w:sz w:val="20"/>
                <w:u w:val="single"/>
              </w:rPr>
            </w:pPr>
            <w:r w:rsidRPr="00F55A3B">
              <w:rPr>
                <w:sz w:val="20"/>
              </w:rPr>
              <w:t>Institutions awarding vocational-technical certificates and diplomas whose FTE enrollment</w:t>
            </w:r>
            <w:r w:rsidR="007A3371" w:rsidRPr="00F55A3B">
              <w:rPr>
                <w:sz w:val="20"/>
              </w:rPr>
              <w:t>s</w:t>
            </w:r>
            <w:r w:rsidRPr="00F55A3B">
              <w:rPr>
                <w:sz w:val="20"/>
              </w:rPr>
              <w:t xml:space="preserve"> </w:t>
            </w:r>
            <w:r w:rsidR="007A3371" w:rsidRPr="00F55A3B">
              <w:rPr>
                <w:sz w:val="20"/>
              </w:rPr>
              <w:t>were</w:t>
            </w:r>
            <w:r w:rsidRPr="00F55A3B">
              <w:rPr>
                <w:sz w:val="20"/>
              </w:rPr>
              <w:t xml:space="preserve"> not reported; some vocational-technical </w:t>
            </w:r>
            <w:r w:rsidR="007A3371" w:rsidRPr="00F55A3B">
              <w:rPr>
                <w:sz w:val="20"/>
              </w:rPr>
              <w:t>associate’s</w:t>
            </w:r>
            <w:r w:rsidRPr="00F55A3B">
              <w:rPr>
                <w:sz w:val="20"/>
              </w:rPr>
              <w:t xml:space="preserve"> degrees may also be awarded.</w:t>
            </w:r>
          </w:p>
        </w:tc>
      </w:tr>
      <w:tr w:rsidR="0022638A" w:rsidRPr="00C42008" w:rsidTr="00F52B13">
        <w:trPr>
          <w:trHeight w:val="154"/>
        </w:trPr>
        <w:tc>
          <w:tcPr>
            <w:tcW w:w="10527" w:type="dxa"/>
            <w:gridSpan w:val="3"/>
          </w:tcPr>
          <w:p w:rsidR="0022638A" w:rsidRPr="00F55A3B" w:rsidRDefault="0022638A" w:rsidP="00F52B13">
            <w:pPr>
              <w:pStyle w:val="DefaultText"/>
              <w:tabs>
                <w:tab w:val="right" w:pos="720"/>
              </w:tabs>
              <w:spacing w:after="120"/>
              <w:ind w:firstLine="0"/>
              <w:jc w:val="center"/>
              <w:rPr>
                <w:b/>
                <w:bCs/>
                <w:sz w:val="20"/>
                <w:u w:val="single"/>
              </w:rPr>
            </w:pPr>
            <w:r w:rsidRPr="00F55A3B">
              <w:rPr>
                <w:b/>
                <w:bCs/>
                <w:sz w:val="20"/>
                <w:u w:val="single"/>
              </w:rPr>
              <w:t>Specialized</w:t>
            </w:r>
          </w:p>
        </w:tc>
      </w:tr>
      <w:tr w:rsidR="0022638A" w:rsidRPr="00C42008" w:rsidTr="00F55A3B">
        <w:trPr>
          <w:trHeight w:val="564"/>
        </w:trPr>
        <w:tc>
          <w:tcPr>
            <w:tcW w:w="1908" w:type="dxa"/>
          </w:tcPr>
          <w:p w:rsidR="00492F63" w:rsidRPr="00F55A3B" w:rsidRDefault="0022638A" w:rsidP="00F52B13">
            <w:pPr>
              <w:pStyle w:val="DefaultText"/>
              <w:tabs>
                <w:tab w:val="right" w:pos="720"/>
              </w:tabs>
              <w:ind w:firstLine="0"/>
              <w:rPr>
                <w:sz w:val="20"/>
              </w:rPr>
            </w:pPr>
            <w:r w:rsidRPr="00F55A3B">
              <w:rPr>
                <w:sz w:val="20"/>
              </w:rPr>
              <w:t>Specialized</w:t>
            </w:r>
          </w:p>
          <w:p w:rsidR="0022638A" w:rsidRPr="00F55A3B" w:rsidRDefault="00492F63" w:rsidP="00F52B13">
            <w:pPr>
              <w:pStyle w:val="DefaultText"/>
              <w:tabs>
                <w:tab w:val="right" w:pos="720"/>
              </w:tabs>
              <w:ind w:firstLine="0"/>
              <w:rPr>
                <w:sz w:val="20"/>
              </w:rPr>
            </w:pPr>
            <w:r w:rsidRPr="00F55A3B">
              <w:rPr>
                <w:sz w:val="20"/>
              </w:rPr>
              <w:tab/>
              <w:t>(15)</w:t>
            </w:r>
          </w:p>
        </w:tc>
        <w:tc>
          <w:tcPr>
            <w:tcW w:w="8619" w:type="dxa"/>
            <w:gridSpan w:val="2"/>
          </w:tcPr>
          <w:p w:rsidR="0022638A" w:rsidRPr="00F55A3B" w:rsidRDefault="0022638A" w:rsidP="00F52B13">
            <w:pPr>
              <w:pStyle w:val="DefaultText"/>
              <w:tabs>
                <w:tab w:val="right" w:pos="720"/>
              </w:tabs>
              <w:spacing w:after="120"/>
              <w:ind w:firstLine="0"/>
              <w:rPr>
                <w:sz w:val="20"/>
              </w:rPr>
            </w:pPr>
            <w:r w:rsidRPr="00F55A3B">
              <w:rPr>
                <w:sz w:val="20"/>
              </w:rPr>
              <w:t>Special purpose institutions that offer specialized degree programs. These may include medical or health science centers and, in some instances, stand-alone law schools, fine arts schools, engineering schools, military academies or other occupational specialty institutions.</w:t>
            </w:r>
          </w:p>
        </w:tc>
      </w:tr>
    </w:tbl>
    <w:p w:rsidR="00B9094D" w:rsidRDefault="00B9094D" w:rsidP="00AC0539">
      <w:pPr>
        <w:pStyle w:val="DefaultText"/>
        <w:ind w:firstLine="0"/>
        <w:jc w:val="center"/>
        <w:rPr>
          <w:szCs w:val="24"/>
        </w:rPr>
      </w:pPr>
    </w:p>
    <w:p w:rsidR="00B9094D" w:rsidRDefault="00B9094D">
      <w:pPr>
        <w:rPr>
          <w:sz w:val="24"/>
          <w:szCs w:val="24"/>
        </w:rPr>
      </w:pPr>
      <w:r>
        <w:rPr>
          <w:szCs w:val="24"/>
        </w:rPr>
        <w:br w:type="page"/>
      </w:r>
    </w:p>
    <w:p w:rsidR="003F6030" w:rsidRPr="00C42008" w:rsidRDefault="003F6030" w:rsidP="00AC0539">
      <w:pPr>
        <w:pStyle w:val="DefaultText"/>
        <w:ind w:firstLine="0"/>
        <w:jc w:val="center"/>
        <w:rPr>
          <w:b/>
          <w:bCs/>
          <w:szCs w:val="24"/>
        </w:rPr>
      </w:pPr>
      <w:r w:rsidRPr="00C42008">
        <w:rPr>
          <w:b/>
          <w:bCs/>
          <w:szCs w:val="24"/>
        </w:rPr>
        <w:lastRenderedPageBreak/>
        <w:t>Part 1</w:t>
      </w:r>
    </w:p>
    <w:p w:rsidR="003F6030" w:rsidRPr="00C42008" w:rsidRDefault="003F6030" w:rsidP="00AC0539">
      <w:pPr>
        <w:pStyle w:val="Header"/>
        <w:ind w:firstLine="0"/>
        <w:jc w:val="center"/>
        <w:rPr>
          <w:b/>
          <w:bCs/>
          <w:szCs w:val="24"/>
        </w:rPr>
      </w:pPr>
      <w:r w:rsidRPr="00C42008">
        <w:rPr>
          <w:b/>
          <w:bCs/>
          <w:szCs w:val="24"/>
        </w:rPr>
        <w:t>Degrees and Other Awards C</w:t>
      </w:r>
      <w:r w:rsidR="00E133DB" w:rsidRPr="00C42008">
        <w:rPr>
          <w:b/>
          <w:bCs/>
          <w:szCs w:val="24"/>
        </w:rPr>
        <w:t>onferred</w:t>
      </w:r>
    </w:p>
    <w:p w:rsidR="008D424C" w:rsidRPr="007B70CF" w:rsidRDefault="008D424C" w:rsidP="00AC0539">
      <w:pPr>
        <w:pStyle w:val="Header"/>
        <w:ind w:firstLine="0"/>
        <w:jc w:val="center"/>
        <w:rPr>
          <w:bCs/>
          <w:szCs w:val="24"/>
        </w:rPr>
      </w:pPr>
      <w:r w:rsidRPr="007B70CF">
        <w:rPr>
          <w:bCs/>
          <w:szCs w:val="24"/>
        </w:rPr>
        <w:t>(July 1</w:t>
      </w:r>
      <w:r w:rsidR="007B70CF">
        <w:rPr>
          <w:bCs/>
          <w:szCs w:val="24"/>
        </w:rPr>
        <w:t>, 20</w:t>
      </w:r>
      <w:r w:rsidR="000F1041">
        <w:rPr>
          <w:bCs/>
          <w:szCs w:val="24"/>
        </w:rPr>
        <w:t>10</w:t>
      </w:r>
      <w:r w:rsidR="007B70CF">
        <w:rPr>
          <w:bCs/>
          <w:szCs w:val="24"/>
        </w:rPr>
        <w:t xml:space="preserve"> </w:t>
      </w:r>
      <w:r w:rsidRPr="007B70CF">
        <w:rPr>
          <w:bCs/>
          <w:szCs w:val="24"/>
        </w:rPr>
        <w:t>-</w:t>
      </w:r>
      <w:r w:rsidR="007B70CF">
        <w:rPr>
          <w:bCs/>
          <w:szCs w:val="24"/>
        </w:rPr>
        <w:t xml:space="preserve"> </w:t>
      </w:r>
      <w:r w:rsidRPr="007B70CF">
        <w:rPr>
          <w:bCs/>
          <w:szCs w:val="24"/>
        </w:rPr>
        <w:t>June 30</w:t>
      </w:r>
      <w:r w:rsidR="007B70CF">
        <w:rPr>
          <w:bCs/>
          <w:szCs w:val="24"/>
        </w:rPr>
        <w:t>, 201</w:t>
      </w:r>
      <w:r w:rsidR="000F1041">
        <w:rPr>
          <w:bCs/>
          <w:szCs w:val="24"/>
        </w:rPr>
        <w:t>1</w:t>
      </w:r>
      <w:r w:rsidRPr="007B70CF">
        <w:rPr>
          <w:bCs/>
          <w:szCs w:val="24"/>
        </w:rPr>
        <w:t>)</w:t>
      </w:r>
    </w:p>
    <w:p w:rsidR="003F6030" w:rsidRPr="00C42008" w:rsidRDefault="003F6030">
      <w:pPr>
        <w:pStyle w:val="DefaultText"/>
        <w:rPr>
          <w:szCs w:val="24"/>
        </w:rPr>
      </w:pPr>
    </w:p>
    <w:p w:rsidR="003F6030" w:rsidRPr="00C42008" w:rsidRDefault="003F6030">
      <w:pPr>
        <w:pStyle w:val="DefaultText"/>
        <w:rPr>
          <w:szCs w:val="24"/>
        </w:rPr>
      </w:pPr>
      <w:r w:rsidRPr="00C42008">
        <w:rPr>
          <w:b/>
          <w:szCs w:val="24"/>
          <w:u w:val="single"/>
        </w:rPr>
        <w:t xml:space="preserve">This part of the survey MUST be completed first </w:t>
      </w:r>
      <w:r w:rsidR="000B5D55" w:rsidRPr="00C42008">
        <w:rPr>
          <w:b/>
          <w:szCs w:val="24"/>
          <w:u w:val="single"/>
        </w:rPr>
        <w:t>for four-year colleges and universities</w:t>
      </w:r>
      <w:r w:rsidR="00BE14E4" w:rsidRPr="00C42008">
        <w:rPr>
          <w:b/>
          <w:szCs w:val="24"/>
          <w:u w:val="single"/>
        </w:rPr>
        <w:t xml:space="preserve"> and </w:t>
      </w:r>
      <w:r w:rsidR="00157E45" w:rsidRPr="00C42008">
        <w:rPr>
          <w:b/>
          <w:szCs w:val="24"/>
          <w:u w:val="single"/>
        </w:rPr>
        <w:t xml:space="preserve">first along with Part </w:t>
      </w:r>
      <w:r w:rsidR="005C3EE7" w:rsidRPr="00C42008">
        <w:rPr>
          <w:b/>
          <w:szCs w:val="24"/>
          <w:u w:val="single"/>
        </w:rPr>
        <w:t>4</w:t>
      </w:r>
      <w:r w:rsidR="00157E45" w:rsidRPr="00C42008">
        <w:rPr>
          <w:b/>
          <w:szCs w:val="24"/>
          <w:u w:val="single"/>
        </w:rPr>
        <w:t xml:space="preserve"> </w:t>
      </w:r>
      <w:r w:rsidR="00BE14E4" w:rsidRPr="00C42008">
        <w:rPr>
          <w:b/>
          <w:szCs w:val="24"/>
          <w:u w:val="single"/>
        </w:rPr>
        <w:t>for two-year colleges with bachelor’s degrees</w:t>
      </w:r>
      <w:r w:rsidR="00BE14E4" w:rsidRPr="00C42008">
        <w:rPr>
          <w:szCs w:val="24"/>
        </w:rPr>
        <w:t xml:space="preserve"> </w:t>
      </w:r>
      <w:r w:rsidRPr="00C42008">
        <w:rPr>
          <w:szCs w:val="24"/>
        </w:rPr>
        <w:t>to determine the proper category for each of the institut</w:t>
      </w:r>
      <w:r w:rsidR="000B5D55" w:rsidRPr="00C42008">
        <w:rPr>
          <w:szCs w:val="24"/>
        </w:rPr>
        <w:t>ions</w:t>
      </w:r>
      <w:r w:rsidRPr="00C42008">
        <w:rPr>
          <w:szCs w:val="24"/>
        </w:rPr>
        <w:t xml:space="preserve"> in your report. </w:t>
      </w:r>
      <w:r w:rsidR="009A5845" w:rsidRPr="00C42008">
        <w:rPr>
          <w:szCs w:val="24"/>
          <w:u w:val="single"/>
        </w:rPr>
        <w:t>O</w:t>
      </w:r>
      <w:r w:rsidRPr="00C42008">
        <w:rPr>
          <w:szCs w:val="24"/>
          <w:u w:val="single"/>
        </w:rPr>
        <w:t xml:space="preserve">nly those institutions meeting </w:t>
      </w:r>
      <w:r w:rsidR="003A2606" w:rsidRPr="00C42008">
        <w:rPr>
          <w:szCs w:val="24"/>
          <w:u w:val="single"/>
        </w:rPr>
        <w:t>the</w:t>
      </w:r>
      <w:r w:rsidRPr="00C42008">
        <w:rPr>
          <w:szCs w:val="24"/>
          <w:u w:val="single"/>
        </w:rPr>
        <w:t xml:space="preserve"> criteri</w:t>
      </w:r>
      <w:r w:rsidR="003A2606" w:rsidRPr="00C42008">
        <w:rPr>
          <w:szCs w:val="24"/>
          <w:u w:val="single"/>
        </w:rPr>
        <w:t>a</w:t>
      </w:r>
      <w:r w:rsidRPr="00C42008">
        <w:rPr>
          <w:szCs w:val="24"/>
          <w:u w:val="single"/>
        </w:rPr>
        <w:t xml:space="preserve"> for a different category for </w:t>
      </w:r>
      <w:r w:rsidRPr="00C42008">
        <w:rPr>
          <w:b/>
          <w:i/>
          <w:szCs w:val="24"/>
          <w:u w:val="single"/>
        </w:rPr>
        <w:t>the third consecutive time</w:t>
      </w:r>
      <w:r w:rsidR="00777D0F" w:rsidRPr="00C42008">
        <w:rPr>
          <w:szCs w:val="24"/>
          <w:u w:val="single"/>
        </w:rPr>
        <w:t xml:space="preserve"> will</w:t>
      </w:r>
      <w:r w:rsidRPr="00C42008">
        <w:rPr>
          <w:szCs w:val="24"/>
          <w:u w:val="single"/>
        </w:rPr>
        <w:t xml:space="preserve"> be changed to a new category</w:t>
      </w:r>
      <w:r w:rsidRPr="00C42008">
        <w:rPr>
          <w:szCs w:val="24"/>
        </w:rPr>
        <w:t>. Institutions that might be eligible for reclassification are flagged in the data template.</w:t>
      </w:r>
    </w:p>
    <w:p w:rsidR="003F6030" w:rsidRPr="00C42008" w:rsidRDefault="003F6030">
      <w:pPr>
        <w:pStyle w:val="DefaultText"/>
        <w:rPr>
          <w:szCs w:val="24"/>
        </w:rPr>
      </w:pPr>
    </w:p>
    <w:p w:rsidR="003F6030" w:rsidRPr="00C42008" w:rsidRDefault="003F6030">
      <w:pPr>
        <w:pStyle w:val="DefaultText"/>
        <w:rPr>
          <w:szCs w:val="24"/>
        </w:rPr>
      </w:pPr>
      <w:r w:rsidRPr="00C42008">
        <w:rPr>
          <w:szCs w:val="24"/>
        </w:rPr>
        <w:t xml:space="preserve">This part of the survey combines the request for the classification verification information and the request for degrees and awards conferred. Enter the degrees and other awards </w:t>
      </w:r>
      <w:r w:rsidR="003024AA" w:rsidRPr="00C42008">
        <w:rPr>
          <w:szCs w:val="24"/>
        </w:rPr>
        <w:t xml:space="preserve">(IPEDS guidelines) </w:t>
      </w:r>
      <w:r w:rsidRPr="00C42008">
        <w:rPr>
          <w:szCs w:val="24"/>
        </w:rPr>
        <w:t>for each college, university or vocational-technical institution in each applicable column</w:t>
      </w:r>
      <w:r w:rsidR="003024AA" w:rsidRPr="00C42008">
        <w:rPr>
          <w:szCs w:val="24"/>
        </w:rPr>
        <w:t xml:space="preserve">. </w:t>
      </w:r>
    </w:p>
    <w:p w:rsidR="003024AA" w:rsidRPr="00C42008" w:rsidRDefault="003024AA">
      <w:pPr>
        <w:pStyle w:val="DefaultText"/>
        <w:rPr>
          <w:szCs w:val="24"/>
        </w:rPr>
      </w:pPr>
    </w:p>
    <w:p w:rsidR="003F6030" w:rsidRPr="00C42008" w:rsidRDefault="003F6030">
      <w:pPr>
        <w:pStyle w:val="DefaultText"/>
        <w:rPr>
          <w:szCs w:val="24"/>
        </w:rPr>
      </w:pPr>
      <w:r w:rsidRPr="00C42008">
        <w:rPr>
          <w:szCs w:val="24"/>
        </w:rPr>
        <w:t>For institutions awarding doctoral degrees, enter the doctoral degrees in the 10 highest volume fields (2-digit CIP) to permit classification verification</w:t>
      </w:r>
      <w:r w:rsidR="007B70CF">
        <w:rPr>
          <w:szCs w:val="24"/>
        </w:rPr>
        <w:t xml:space="preserve">. </w:t>
      </w:r>
      <w:r w:rsidRPr="00C42008">
        <w:rPr>
          <w:szCs w:val="24"/>
        </w:rPr>
        <w:t xml:space="preserve">For institutions awarding </w:t>
      </w:r>
      <w:proofErr w:type="gramStart"/>
      <w:r w:rsidRPr="00C42008">
        <w:rPr>
          <w:szCs w:val="24"/>
        </w:rPr>
        <w:t>master's</w:t>
      </w:r>
      <w:proofErr w:type="gramEnd"/>
      <w:r w:rsidRPr="00C42008">
        <w:rPr>
          <w:szCs w:val="24"/>
        </w:rPr>
        <w:t xml:space="preserve">, education specialist, and post-master's degrees, enter the degrees in the 10 highest volume fields </w:t>
      </w:r>
      <w:r w:rsidR="007B70CF" w:rsidRPr="00C42008">
        <w:rPr>
          <w:szCs w:val="24"/>
        </w:rPr>
        <w:t>(2-digit CIP)</w:t>
      </w:r>
      <w:r w:rsidR="007B70CF">
        <w:rPr>
          <w:szCs w:val="24"/>
        </w:rPr>
        <w:t xml:space="preserve"> </w:t>
      </w:r>
      <w:r w:rsidRPr="00C42008">
        <w:rPr>
          <w:szCs w:val="24"/>
        </w:rPr>
        <w:t>to permit classification verification.</w:t>
      </w:r>
    </w:p>
    <w:p w:rsidR="00B05645" w:rsidRPr="00C42008" w:rsidRDefault="00B05645">
      <w:pPr>
        <w:pStyle w:val="DefaultText"/>
        <w:rPr>
          <w:szCs w:val="24"/>
        </w:rPr>
      </w:pPr>
    </w:p>
    <w:p w:rsidR="00B05645" w:rsidRPr="00C42008" w:rsidRDefault="00B05645" w:rsidP="00B05645">
      <w:pPr>
        <w:pStyle w:val="DefaultText"/>
        <w:rPr>
          <w:szCs w:val="24"/>
        </w:rPr>
      </w:pPr>
      <w:r w:rsidRPr="00C42008">
        <w:rPr>
          <w:szCs w:val="24"/>
          <w:u w:val="single"/>
        </w:rPr>
        <w:t>For all institutions awarding bachelor’s degrees</w:t>
      </w:r>
      <w:r w:rsidRPr="00C42008">
        <w:rPr>
          <w:szCs w:val="24"/>
        </w:rPr>
        <w:t xml:space="preserve">, enter the number of bachelor’s degree recipients who are identified as </w:t>
      </w:r>
      <w:r w:rsidRPr="00C42008">
        <w:rPr>
          <w:szCs w:val="24"/>
          <w:u w:val="single"/>
        </w:rPr>
        <w:t>teacher preparation graduates</w:t>
      </w:r>
      <w:r w:rsidRPr="00C42008">
        <w:rPr>
          <w:szCs w:val="24"/>
        </w:rPr>
        <w:t xml:space="preserve"> (1) by major according to a teacher education CIP-code designation (principally 13.10’s, 13.12’s and 13.13’s of the CIP); or (2) by virtue of taking </w:t>
      </w:r>
      <w:r w:rsidR="007B70CF">
        <w:rPr>
          <w:szCs w:val="24"/>
        </w:rPr>
        <w:t xml:space="preserve">other </w:t>
      </w:r>
      <w:r w:rsidRPr="00C42008">
        <w:rPr>
          <w:szCs w:val="24"/>
        </w:rPr>
        <w:t>requisite teacher education courses; or (3) those otherwise identified as teacher preparation graduates. (In the case of (3), please insert a comment explaining how they are identified.)</w:t>
      </w:r>
    </w:p>
    <w:p w:rsidR="000B5D55" w:rsidRPr="00C42008" w:rsidRDefault="000B5D55">
      <w:pPr>
        <w:pStyle w:val="DefaultText"/>
        <w:rPr>
          <w:szCs w:val="24"/>
        </w:rPr>
      </w:pPr>
    </w:p>
    <w:p w:rsidR="000B5D55" w:rsidRPr="00C42008" w:rsidRDefault="009A5845" w:rsidP="000B5D55">
      <w:pPr>
        <w:pStyle w:val="DefaultText"/>
        <w:rPr>
          <w:szCs w:val="24"/>
        </w:rPr>
      </w:pPr>
      <w:r w:rsidRPr="00C42008">
        <w:rPr>
          <w:szCs w:val="24"/>
          <w:u w:val="single"/>
        </w:rPr>
        <w:t>Only f</w:t>
      </w:r>
      <w:r w:rsidR="000B5D55" w:rsidRPr="00C42008">
        <w:rPr>
          <w:szCs w:val="24"/>
          <w:u w:val="single"/>
        </w:rPr>
        <w:t xml:space="preserve">or </w:t>
      </w:r>
      <w:r w:rsidR="0056076D" w:rsidRPr="00C42008">
        <w:rPr>
          <w:szCs w:val="24"/>
          <w:u w:val="single"/>
        </w:rPr>
        <w:t xml:space="preserve">two-year colleges </w:t>
      </w:r>
      <w:r w:rsidR="000B5D55" w:rsidRPr="00C42008">
        <w:rPr>
          <w:szCs w:val="24"/>
          <w:u w:val="single"/>
        </w:rPr>
        <w:t xml:space="preserve">awarding </w:t>
      </w:r>
      <w:r w:rsidR="0056076D" w:rsidRPr="00C42008">
        <w:rPr>
          <w:szCs w:val="24"/>
          <w:u w:val="single"/>
        </w:rPr>
        <w:t xml:space="preserve">bachelor’s </w:t>
      </w:r>
      <w:r w:rsidR="000B5D55" w:rsidRPr="00C42008">
        <w:rPr>
          <w:szCs w:val="24"/>
          <w:u w:val="single"/>
        </w:rPr>
        <w:t>degrees</w:t>
      </w:r>
      <w:r w:rsidR="00777D0F" w:rsidRPr="00C42008">
        <w:rPr>
          <w:szCs w:val="24"/>
          <w:u w:val="single"/>
        </w:rPr>
        <w:t>:</w:t>
      </w:r>
      <w:r w:rsidR="000B5D55" w:rsidRPr="00C42008">
        <w:rPr>
          <w:szCs w:val="24"/>
        </w:rPr>
        <w:t xml:space="preserve"> enter the </w:t>
      </w:r>
      <w:r w:rsidR="009866CF" w:rsidRPr="00C42008">
        <w:rPr>
          <w:szCs w:val="24"/>
        </w:rPr>
        <w:t xml:space="preserve">bachelor’s </w:t>
      </w:r>
      <w:r w:rsidR="004E5567" w:rsidRPr="00C42008">
        <w:rPr>
          <w:szCs w:val="24"/>
        </w:rPr>
        <w:t>degrees in the five</w:t>
      </w:r>
      <w:r w:rsidR="000B5D55" w:rsidRPr="00C42008">
        <w:rPr>
          <w:szCs w:val="24"/>
        </w:rPr>
        <w:t xml:space="preserve"> highest volume fields to permit classification verification.</w:t>
      </w:r>
    </w:p>
    <w:p w:rsidR="00E7463E" w:rsidRPr="00C42008" w:rsidRDefault="00E7463E" w:rsidP="000B5D55">
      <w:pPr>
        <w:pStyle w:val="DefaultText"/>
        <w:rPr>
          <w:szCs w:val="24"/>
        </w:rPr>
      </w:pPr>
    </w:p>
    <w:p w:rsidR="00E7463E" w:rsidRPr="00C42008" w:rsidRDefault="00E7463E" w:rsidP="000B5D55">
      <w:pPr>
        <w:pStyle w:val="DefaultText"/>
        <w:rPr>
          <w:szCs w:val="24"/>
        </w:rPr>
      </w:pPr>
    </w:p>
    <w:p w:rsidR="00492F63" w:rsidRPr="00C42008" w:rsidRDefault="004A194A" w:rsidP="000B5D55">
      <w:pPr>
        <w:pStyle w:val="DefaultText"/>
        <w:rPr>
          <w:szCs w:val="24"/>
        </w:rPr>
      </w:pPr>
      <w:r w:rsidRPr="00C42008">
        <w:rPr>
          <w:szCs w:val="24"/>
        </w:rPr>
        <w:t xml:space="preserve">NOTE: </w:t>
      </w:r>
      <w:r w:rsidR="00E7463E" w:rsidRPr="00C42008">
        <w:rPr>
          <w:szCs w:val="24"/>
        </w:rPr>
        <w:t xml:space="preserve">The forms have been adapted to </w:t>
      </w:r>
      <w:r w:rsidR="000F1041">
        <w:rPr>
          <w:szCs w:val="24"/>
        </w:rPr>
        <w:t xml:space="preserve">reflect </w:t>
      </w:r>
      <w:r w:rsidRPr="00C42008">
        <w:rPr>
          <w:szCs w:val="24"/>
        </w:rPr>
        <w:t xml:space="preserve">the </w:t>
      </w:r>
      <w:r w:rsidR="00E7463E" w:rsidRPr="00C42008">
        <w:rPr>
          <w:szCs w:val="24"/>
        </w:rPr>
        <w:t>new IPEDS guidelines for reporting degrees, especially those forme</w:t>
      </w:r>
      <w:r w:rsidRPr="00C42008">
        <w:rPr>
          <w:szCs w:val="24"/>
        </w:rPr>
        <w:t>r</w:t>
      </w:r>
      <w:r w:rsidR="00E7463E" w:rsidRPr="00C42008">
        <w:rPr>
          <w:szCs w:val="24"/>
        </w:rPr>
        <w:t>ly know</w:t>
      </w:r>
      <w:r w:rsidRPr="00C42008">
        <w:rPr>
          <w:szCs w:val="24"/>
        </w:rPr>
        <w:t>n as first professional degrees</w:t>
      </w:r>
      <w:r w:rsidR="000F1041">
        <w:rPr>
          <w:szCs w:val="24"/>
        </w:rPr>
        <w:t>.</w:t>
      </w:r>
      <w:r w:rsidR="00B21989" w:rsidRPr="00C42008">
        <w:rPr>
          <w:szCs w:val="24"/>
        </w:rPr>
        <w:t xml:space="preserve"> </w:t>
      </w:r>
      <w:r w:rsidR="007B70CF">
        <w:rPr>
          <w:szCs w:val="24"/>
        </w:rPr>
        <w:t xml:space="preserve">(See </w:t>
      </w:r>
      <w:r w:rsidRPr="00C42008">
        <w:rPr>
          <w:szCs w:val="24"/>
        </w:rPr>
        <w:t>crosswalk.</w:t>
      </w:r>
      <w:r w:rsidR="007B70CF">
        <w:rPr>
          <w:szCs w:val="24"/>
        </w:rPr>
        <w:t>)</w:t>
      </w:r>
      <w:r w:rsidRPr="00C42008">
        <w:rPr>
          <w:szCs w:val="24"/>
        </w:rPr>
        <w:t xml:space="preserve"> </w:t>
      </w:r>
    </w:p>
    <w:p w:rsidR="00E7463E" w:rsidRPr="00C42008" w:rsidRDefault="008F6347" w:rsidP="008F6347">
      <w:pPr>
        <w:pStyle w:val="DefaultText"/>
        <w:jc w:val="center"/>
        <w:rPr>
          <w:szCs w:val="24"/>
        </w:rPr>
      </w:pPr>
      <w:r w:rsidRPr="00C42008">
        <w:rPr>
          <w:szCs w:val="24"/>
        </w:rPr>
        <w:br w:type="page"/>
      </w:r>
    </w:p>
    <w:tbl>
      <w:tblPr>
        <w:tblW w:w="10779" w:type="dxa"/>
        <w:tblInd w:w="93" w:type="dxa"/>
        <w:tblLook w:val="04A0"/>
      </w:tblPr>
      <w:tblGrid>
        <w:gridCol w:w="1279"/>
        <w:gridCol w:w="4600"/>
        <w:gridCol w:w="4900"/>
      </w:tblGrid>
      <w:tr w:rsidR="00B63DB4" w:rsidRPr="00C42008" w:rsidTr="00B63DB4">
        <w:trPr>
          <w:trHeight w:val="660"/>
        </w:trPr>
        <w:tc>
          <w:tcPr>
            <w:tcW w:w="1279" w:type="dxa"/>
            <w:tcBorders>
              <w:top w:val="single" w:sz="4" w:space="0" w:color="auto"/>
              <w:left w:val="single" w:sz="4" w:space="0" w:color="auto"/>
              <w:bottom w:val="single" w:sz="4" w:space="0" w:color="auto"/>
              <w:right w:val="single" w:sz="4" w:space="0" w:color="auto"/>
            </w:tcBorders>
          </w:tcPr>
          <w:p w:rsidR="00B63DB4" w:rsidRPr="00B9094D" w:rsidRDefault="00B63DB4" w:rsidP="00E7463E">
            <w:pPr>
              <w:jc w:val="center"/>
              <w:rPr>
                <w:b/>
                <w:bCs/>
                <w:color w:val="000000"/>
              </w:rPr>
            </w:pPr>
            <w:r>
              <w:rPr>
                <w:b/>
                <w:bCs/>
                <w:color w:val="000000"/>
              </w:rPr>
              <w:lastRenderedPageBreak/>
              <w:t>SREB Reporting Categories</w:t>
            </w:r>
          </w:p>
        </w:tc>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DB4" w:rsidRPr="00B9094D" w:rsidRDefault="00B63DB4" w:rsidP="00E7463E">
            <w:pPr>
              <w:jc w:val="center"/>
              <w:rPr>
                <w:b/>
                <w:bCs/>
                <w:color w:val="000000"/>
              </w:rPr>
            </w:pPr>
            <w:bookmarkStart w:id="0" w:name="RANGE!A1:B13"/>
            <w:r w:rsidRPr="00B9094D">
              <w:rPr>
                <w:b/>
                <w:bCs/>
                <w:color w:val="000000"/>
              </w:rPr>
              <w:t xml:space="preserve">Old </w:t>
            </w:r>
            <w:r w:rsidR="004B256A">
              <w:rPr>
                <w:b/>
                <w:bCs/>
                <w:color w:val="000000"/>
              </w:rPr>
              <w:t xml:space="preserve">IPEDS </w:t>
            </w:r>
            <w:r w:rsidRPr="00B9094D">
              <w:rPr>
                <w:b/>
                <w:bCs/>
                <w:color w:val="000000"/>
              </w:rPr>
              <w:t>Completions Levels and Codes</w:t>
            </w:r>
            <w:bookmarkEnd w:id="0"/>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rsidR="00B63DB4" w:rsidRPr="00B9094D" w:rsidRDefault="00B63DB4" w:rsidP="00E7463E">
            <w:pPr>
              <w:jc w:val="center"/>
              <w:rPr>
                <w:b/>
                <w:bCs/>
                <w:color w:val="000000"/>
              </w:rPr>
            </w:pPr>
            <w:r w:rsidRPr="00B9094D">
              <w:rPr>
                <w:b/>
                <w:bCs/>
                <w:color w:val="000000"/>
              </w:rPr>
              <w:t xml:space="preserve">New </w:t>
            </w:r>
            <w:r w:rsidR="004B256A">
              <w:rPr>
                <w:b/>
                <w:bCs/>
                <w:color w:val="000000"/>
              </w:rPr>
              <w:t xml:space="preserve">IPEDS </w:t>
            </w:r>
            <w:r w:rsidRPr="00B9094D">
              <w:rPr>
                <w:b/>
                <w:bCs/>
                <w:color w:val="000000"/>
              </w:rPr>
              <w:t>Completions Levels and Codes</w:t>
            </w:r>
          </w:p>
        </w:tc>
      </w:tr>
      <w:tr w:rsidR="00B63DB4" w:rsidRPr="00C42008" w:rsidTr="00B63DB4">
        <w:trPr>
          <w:trHeight w:val="855"/>
        </w:trPr>
        <w:tc>
          <w:tcPr>
            <w:tcW w:w="1279" w:type="dxa"/>
            <w:vMerge w:val="restart"/>
            <w:tcBorders>
              <w:top w:val="nil"/>
              <w:left w:val="single" w:sz="4" w:space="0" w:color="auto"/>
              <w:right w:val="nil"/>
            </w:tcBorders>
          </w:tcPr>
          <w:p w:rsidR="00B63DB4" w:rsidRPr="000F1041" w:rsidRDefault="00B63DB4" w:rsidP="00B63DB4">
            <w:pPr>
              <w:jc w:val="center"/>
              <w:rPr>
                <w:color w:val="000000"/>
                <w:sz w:val="18"/>
                <w:szCs w:val="18"/>
              </w:rPr>
            </w:pPr>
            <w:r w:rsidRPr="000F1041">
              <w:rPr>
                <w:color w:val="000000"/>
                <w:sz w:val="18"/>
                <w:szCs w:val="18"/>
              </w:rPr>
              <w:t xml:space="preserve"> </w:t>
            </w:r>
          </w:p>
          <w:p w:rsidR="00B63DB4" w:rsidRPr="000F1041" w:rsidRDefault="00B63DB4" w:rsidP="00B63DB4">
            <w:pPr>
              <w:jc w:val="center"/>
              <w:rPr>
                <w:color w:val="000000"/>
                <w:sz w:val="18"/>
                <w:szCs w:val="18"/>
              </w:rPr>
            </w:pPr>
            <w:r w:rsidRPr="000F1041">
              <w:rPr>
                <w:color w:val="000000"/>
                <w:sz w:val="18"/>
                <w:szCs w:val="18"/>
              </w:rPr>
              <w:t xml:space="preserve"> </w:t>
            </w:r>
          </w:p>
          <w:p w:rsidR="00B63DB4" w:rsidRPr="000F1041" w:rsidRDefault="00B63DB4" w:rsidP="00B63DB4">
            <w:pPr>
              <w:jc w:val="center"/>
              <w:rPr>
                <w:color w:val="000000"/>
                <w:sz w:val="18"/>
                <w:szCs w:val="18"/>
              </w:rPr>
            </w:pPr>
            <w:r w:rsidRPr="000F1041">
              <w:rPr>
                <w:color w:val="000000"/>
                <w:sz w:val="18"/>
                <w:szCs w:val="18"/>
              </w:rPr>
              <w:t xml:space="preserve"> Less Than 2-Year Awards</w:t>
            </w:r>
          </w:p>
        </w:tc>
        <w:tc>
          <w:tcPr>
            <w:tcW w:w="4600" w:type="dxa"/>
            <w:tcBorders>
              <w:top w:val="nil"/>
              <w:left w:val="single" w:sz="4" w:space="0" w:color="auto"/>
              <w:bottom w:val="single" w:sz="4" w:space="0" w:color="auto"/>
              <w:right w:val="nil"/>
            </w:tcBorders>
            <w:shd w:val="clear" w:color="auto" w:fill="auto"/>
            <w:hideMark/>
          </w:tcPr>
          <w:p w:rsidR="00B63DB4" w:rsidRPr="000F1041" w:rsidRDefault="00B63DB4" w:rsidP="00E7463E">
            <w:pPr>
              <w:rPr>
                <w:color w:val="000000"/>
                <w:sz w:val="18"/>
                <w:szCs w:val="18"/>
              </w:rPr>
            </w:pPr>
            <w:r w:rsidRPr="000F1041">
              <w:rPr>
                <w:color w:val="000000"/>
                <w:sz w:val="18"/>
                <w:szCs w:val="18"/>
              </w:rPr>
              <w:t>1 - Postsecondary award, certificate, or diploma of less than one academic year (less than 900 contact or clock hours)</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rsidR="00B63DB4" w:rsidRPr="000F1041" w:rsidRDefault="00B63DB4" w:rsidP="00E7463E">
            <w:pPr>
              <w:rPr>
                <w:color w:val="000000"/>
                <w:sz w:val="18"/>
                <w:szCs w:val="18"/>
              </w:rPr>
            </w:pPr>
            <w:r w:rsidRPr="000F1041">
              <w:rPr>
                <w:color w:val="000000"/>
                <w:sz w:val="18"/>
                <w:szCs w:val="18"/>
              </w:rPr>
              <w:t>same</w:t>
            </w:r>
          </w:p>
        </w:tc>
      </w:tr>
      <w:tr w:rsidR="00B63DB4" w:rsidRPr="00C42008" w:rsidTr="00B63DB4">
        <w:trPr>
          <w:trHeight w:val="900"/>
        </w:trPr>
        <w:tc>
          <w:tcPr>
            <w:tcW w:w="1279" w:type="dxa"/>
            <w:vMerge/>
            <w:tcBorders>
              <w:left w:val="single" w:sz="4" w:space="0" w:color="auto"/>
              <w:bottom w:val="single" w:sz="4" w:space="0" w:color="auto"/>
              <w:right w:val="nil"/>
            </w:tcBorders>
          </w:tcPr>
          <w:p w:rsidR="00B63DB4" w:rsidRPr="000F1041" w:rsidRDefault="00B63DB4" w:rsidP="00E7463E">
            <w:pPr>
              <w:rPr>
                <w:color w:val="000000"/>
                <w:sz w:val="18"/>
                <w:szCs w:val="18"/>
              </w:rPr>
            </w:pPr>
          </w:p>
        </w:tc>
        <w:tc>
          <w:tcPr>
            <w:tcW w:w="4600" w:type="dxa"/>
            <w:tcBorders>
              <w:top w:val="nil"/>
              <w:left w:val="single" w:sz="4" w:space="0" w:color="auto"/>
              <w:bottom w:val="single" w:sz="4" w:space="0" w:color="auto"/>
              <w:right w:val="nil"/>
            </w:tcBorders>
            <w:shd w:val="clear" w:color="auto" w:fill="auto"/>
            <w:hideMark/>
          </w:tcPr>
          <w:p w:rsidR="00B63DB4" w:rsidRPr="000F1041" w:rsidRDefault="00B63DB4" w:rsidP="00E7463E">
            <w:pPr>
              <w:rPr>
                <w:color w:val="000000"/>
                <w:sz w:val="18"/>
                <w:szCs w:val="18"/>
              </w:rPr>
            </w:pPr>
            <w:r w:rsidRPr="000F1041">
              <w:rPr>
                <w:color w:val="000000"/>
                <w:sz w:val="18"/>
                <w:szCs w:val="18"/>
              </w:rPr>
              <w:t>2 - Postsecondary award, certificate, or diploma of at least one but less than two academic years (at least 900 but less than 1800 contact or clock hours)</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rsidR="00B63DB4" w:rsidRPr="000F1041" w:rsidRDefault="00B63DB4" w:rsidP="00E7463E">
            <w:pPr>
              <w:rPr>
                <w:color w:val="000000"/>
                <w:sz w:val="18"/>
                <w:szCs w:val="18"/>
              </w:rPr>
            </w:pPr>
            <w:r w:rsidRPr="000F1041">
              <w:rPr>
                <w:color w:val="000000"/>
                <w:sz w:val="18"/>
                <w:szCs w:val="18"/>
              </w:rPr>
              <w:t>same</w:t>
            </w:r>
          </w:p>
        </w:tc>
      </w:tr>
      <w:tr w:rsidR="00B63DB4" w:rsidRPr="00C42008" w:rsidTr="00B63DB4">
        <w:trPr>
          <w:trHeight w:val="255"/>
        </w:trPr>
        <w:tc>
          <w:tcPr>
            <w:tcW w:w="1279" w:type="dxa"/>
            <w:tcBorders>
              <w:top w:val="nil"/>
              <w:left w:val="single" w:sz="4" w:space="0" w:color="auto"/>
              <w:bottom w:val="single" w:sz="4" w:space="0" w:color="auto"/>
              <w:right w:val="nil"/>
            </w:tcBorders>
          </w:tcPr>
          <w:p w:rsidR="00B63DB4" w:rsidRPr="000F1041" w:rsidRDefault="00B63DB4" w:rsidP="00B63DB4">
            <w:pPr>
              <w:rPr>
                <w:color w:val="000000"/>
                <w:sz w:val="18"/>
                <w:szCs w:val="18"/>
              </w:rPr>
            </w:pPr>
            <w:r w:rsidRPr="000F1041">
              <w:rPr>
                <w:color w:val="000000"/>
                <w:sz w:val="18"/>
                <w:szCs w:val="18"/>
              </w:rPr>
              <w:t>Associate’s Degrees</w:t>
            </w:r>
          </w:p>
        </w:tc>
        <w:tc>
          <w:tcPr>
            <w:tcW w:w="4600" w:type="dxa"/>
            <w:tcBorders>
              <w:top w:val="nil"/>
              <w:left w:val="single" w:sz="4" w:space="0" w:color="auto"/>
              <w:bottom w:val="single" w:sz="4" w:space="0" w:color="auto"/>
              <w:right w:val="nil"/>
            </w:tcBorders>
            <w:shd w:val="clear" w:color="auto" w:fill="auto"/>
            <w:hideMark/>
          </w:tcPr>
          <w:p w:rsidR="00B63DB4" w:rsidRPr="000F1041" w:rsidRDefault="00B63DB4" w:rsidP="00E7463E">
            <w:pPr>
              <w:rPr>
                <w:color w:val="000000"/>
                <w:sz w:val="18"/>
                <w:szCs w:val="18"/>
              </w:rPr>
            </w:pPr>
            <w:r w:rsidRPr="000F1041">
              <w:rPr>
                <w:color w:val="000000"/>
                <w:sz w:val="18"/>
                <w:szCs w:val="18"/>
              </w:rPr>
              <w:t>3 - Associate’s degree</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rsidR="00B63DB4" w:rsidRPr="000F1041" w:rsidRDefault="00B63DB4" w:rsidP="00E7463E">
            <w:pPr>
              <w:rPr>
                <w:sz w:val="18"/>
                <w:szCs w:val="18"/>
              </w:rPr>
            </w:pPr>
            <w:r w:rsidRPr="000F1041">
              <w:rPr>
                <w:sz w:val="18"/>
                <w:szCs w:val="18"/>
              </w:rPr>
              <w:t>same</w:t>
            </w:r>
          </w:p>
        </w:tc>
      </w:tr>
      <w:tr w:rsidR="00B63DB4" w:rsidRPr="00C42008" w:rsidTr="00B63DB4">
        <w:trPr>
          <w:trHeight w:val="1277"/>
        </w:trPr>
        <w:tc>
          <w:tcPr>
            <w:tcW w:w="1279" w:type="dxa"/>
            <w:tcBorders>
              <w:top w:val="nil"/>
              <w:left w:val="single" w:sz="4" w:space="0" w:color="auto"/>
              <w:bottom w:val="single" w:sz="4" w:space="0" w:color="auto"/>
              <w:right w:val="nil"/>
            </w:tcBorders>
          </w:tcPr>
          <w:p w:rsidR="00B63DB4" w:rsidRPr="000F1041" w:rsidRDefault="00B63DB4" w:rsidP="00E7463E">
            <w:pPr>
              <w:rPr>
                <w:color w:val="000000"/>
                <w:sz w:val="18"/>
                <w:szCs w:val="18"/>
              </w:rPr>
            </w:pPr>
            <w:r w:rsidRPr="000F1041">
              <w:rPr>
                <w:color w:val="000000"/>
                <w:sz w:val="18"/>
                <w:szCs w:val="18"/>
              </w:rPr>
              <w:t>At Least 2-Year, But Less Than 4-Year Awards</w:t>
            </w:r>
          </w:p>
        </w:tc>
        <w:tc>
          <w:tcPr>
            <w:tcW w:w="4600" w:type="dxa"/>
            <w:tcBorders>
              <w:top w:val="nil"/>
              <w:left w:val="single" w:sz="4" w:space="0" w:color="auto"/>
              <w:bottom w:val="single" w:sz="4" w:space="0" w:color="auto"/>
              <w:right w:val="nil"/>
            </w:tcBorders>
            <w:shd w:val="clear" w:color="auto" w:fill="auto"/>
            <w:hideMark/>
          </w:tcPr>
          <w:p w:rsidR="00B63DB4" w:rsidRPr="000F1041" w:rsidRDefault="00B63DB4" w:rsidP="00E7463E">
            <w:pPr>
              <w:rPr>
                <w:color w:val="000000"/>
                <w:sz w:val="18"/>
                <w:szCs w:val="18"/>
              </w:rPr>
            </w:pPr>
            <w:r w:rsidRPr="000F1041">
              <w:rPr>
                <w:color w:val="000000"/>
                <w:sz w:val="18"/>
                <w:szCs w:val="18"/>
              </w:rPr>
              <w:t>4 - Postsecondary award, certificate, or diploma of at least two but less than four academic years (at least 1800 contact or clock hours) (One academic year equals 30 semester credit hours or its equivalent, or 900 contact or clock hours.)</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rsidR="00B63DB4" w:rsidRPr="000F1041" w:rsidRDefault="00B63DB4" w:rsidP="00E7463E">
            <w:pPr>
              <w:rPr>
                <w:sz w:val="18"/>
                <w:szCs w:val="18"/>
              </w:rPr>
            </w:pPr>
            <w:r w:rsidRPr="000F1041">
              <w:rPr>
                <w:sz w:val="18"/>
                <w:szCs w:val="18"/>
              </w:rPr>
              <w:t>same</w:t>
            </w:r>
          </w:p>
        </w:tc>
      </w:tr>
      <w:tr w:rsidR="00B63DB4" w:rsidRPr="00C42008" w:rsidTr="00B63DB4">
        <w:trPr>
          <w:trHeight w:val="255"/>
        </w:trPr>
        <w:tc>
          <w:tcPr>
            <w:tcW w:w="1279" w:type="dxa"/>
            <w:tcBorders>
              <w:top w:val="nil"/>
              <w:left w:val="single" w:sz="4" w:space="0" w:color="auto"/>
              <w:bottom w:val="single" w:sz="4" w:space="0" w:color="auto"/>
              <w:right w:val="nil"/>
            </w:tcBorders>
          </w:tcPr>
          <w:p w:rsidR="00B63DB4" w:rsidRPr="000F1041" w:rsidRDefault="00B63DB4" w:rsidP="00E7463E">
            <w:pPr>
              <w:rPr>
                <w:color w:val="000000"/>
                <w:sz w:val="18"/>
                <w:szCs w:val="18"/>
              </w:rPr>
            </w:pPr>
            <w:r w:rsidRPr="000F1041">
              <w:rPr>
                <w:color w:val="000000"/>
                <w:sz w:val="18"/>
                <w:szCs w:val="18"/>
              </w:rPr>
              <w:t>Bachelor’s Degrees</w:t>
            </w:r>
          </w:p>
        </w:tc>
        <w:tc>
          <w:tcPr>
            <w:tcW w:w="4600" w:type="dxa"/>
            <w:tcBorders>
              <w:top w:val="nil"/>
              <w:left w:val="single" w:sz="4" w:space="0" w:color="auto"/>
              <w:bottom w:val="single" w:sz="4" w:space="0" w:color="auto"/>
              <w:right w:val="nil"/>
            </w:tcBorders>
            <w:shd w:val="clear" w:color="auto" w:fill="auto"/>
            <w:noWrap/>
            <w:hideMark/>
          </w:tcPr>
          <w:p w:rsidR="00B63DB4" w:rsidRPr="000F1041" w:rsidRDefault="00B63DB4" w:rsidP="00E7463E">
            <w:pPr>
              <w:rPr>
                <w:color w:val="000000"/>
                <w:sz w:val="18"/>
                <w:szCs w:val="18"/>
              </w:rPr>
            </w:pPr>
            <w:r w:rsidRPr="000F1041">
              <w:rPr>
                <w:color w:val="000000"/>
                <w:sz w:val="18"/>
                <w:szCs w:val="18"/>
              </w:rPr>
              <w:t>5 - Bachelor’s degree</w:t>
            </w:r>
          </w:p>
        </w:tc>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B63DB4" w:rsidRPr="000F1041" w:rsidRDefault="00B63DB4" w:rsidP="00E7463E">
            <w:pPr>
              <w:rPr>
                <w:sz w:val="18"/>
                <w:szCs w:val="18"/>
              </w:rPr>
            </w:pPr>
            <w:r w:rsidRPr="000F1041">
              <w:rPr>
                <w:sz w:val="18"/>
                <w:szCs w:val="18"/>
              </w:rPr>
              <w:t>includes Bachelor of Pharmacy degree</w:t>
            </w:r>
          </w:p>
        </w:tc>
      </w:tr>
      <w:tr w:rsidR="00B63DB4" w:rsidRPr="00C42008" w:rsidTr="00B63DB4">
        <w:trPr>
          <w:trHeight w:val="255"/>
        </w:trPr>
        <w:tc>
          <w:tcPr>
            <w:tcW w:w="1279" w:type="dxa"/>
            <w:tcBorders>
              <w:top w:val="nil"/>
              <w:left w:val="single" w:sz="4" w:space="0" w:color="auto"/>
              <w:bottom w:val="single" w:sz="4" w:space="0" w:color="auto"/>
              <w:right w:val="nil"/>
            </w:tcBorders>
          </w:tcPr>
          <w:p w:rsidR="00B63DB4" w:rsidRPr="000F1041" w:rsidRDefault="00B63DB4" w:rsidP="00B63DB4">
            <w:pPr>
              <w:rPr>
                <w:color w:val="000000"/>
                <w:sz w:val="18"/>
                <w:szCs w:val="18"/>
              </w:rPr>
            </w:pPr>
            <w:r w:rsidRPr="000F1041">
              <w:rPr>
                <w:color w:val="000000"/>
                <w:sz w:val="18"/>
                <w:szCs w:val="18"/>
              </w:rPr>
              <w:t>Post Bachelor’s Certificates</w:t>
            </w:r>
          </w:p>
        </w:tc>
        <w:tc>
          <w:tcPr>
            <w:tcW w:w="4600" w:type="dxa"/>
            <w:tcBorders>
              <w:top w:val="nil"/>
              <w:left w:val="single" w:sz="4" w:space="0" w:color="auto"/>
              <w:bottom w:val="single" w:sz="4" w:space="0" w:color="auto"/>
              <w:right w:val="nil"/>
            </w:tcBorders>
            <w:shd w:val="clear" w:color="auto" w:fill="auto"/>
            <w:noWrap/>
            <w:hideMark/>
          </w:tcPr>
          <w:p w:rsidR="00B63DB4" w:rsidRPr="000F1041" w:rsidRDefault="00B63DB4" w:rsidP="00E7463E">
            <w:pPr>
              <w:rPr>
                <w:color w:val="000000"/>
                <w:sz w:val="18"/>
                <w:szCs w:val="18"/>
              </w:rPr>
            </w:pPr>
            <w:r w:rsidRPr="000F1041">
              <w:rPr>
                <w:color w:val="000000"/>
                <w:sz w:val="18"/>
                <w:szCs w:val="18"/>
              </w:rPr>
              <w:t>6 - Post baccalaureate certificate</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rsidR="00B63DB4" w:rsidRPr="000F1041" w:rsidRDefault="00B63DB4" w:rsidP="00E7463E">
            <w:pPr>
              <w:rPr>
                <w:sz w:val="18"/>
                <w:szCs w:val="18"/>
              </w:rPr>
            </w:pPr>
            <w:r w:rsidRPr="000F1041">
              <w:rPr>
                <w:sz w:val="18"/>
                <w:szCs w:val="18"/>
              </w:rPr>
              <w:t>same</w:t>
            </w:r>
          </w:p>
        </w:tc>
      </w:tr>
      <w:tr w:rsidR="00B63DB4" w:rsidRPr="00C42008" w:rsidTr="00B63DB4">
        <w:trPr>
          <w:trHeight w:val="510"/>
        </w:trPr>
        <w:tc>
          <w:tcPr>
            <w:tcW w:w="1279" w:type="dxa"/>
            <w:vMerge w:val="restart"/>
            <w:tcBorders>
              <w:top w:val="nil"/>
              <w:left w:val="single" w:sz="4" w:space="0" w:color="auto"/>
              <w:right w:val="nil"/>
            </w:tcBorders>
          </w:tcPr>
          <w:p w:rsidR="00B63DB4" w:rsidRPr="000F1041" w:rsidRDefault="00B63DB4" w:rsidP="00B63DB4">
            <w:pPr>
              <w:rPr>
                <w:color w:val="000000"/>
                <w:sz w:val="18"/>
                <w:szCs w:val="18"/>
              </w:rPr>
            </w:pPr>
            <w:r w:rsidRPr="000F1041">
              <w:rPr>
                <w:color w:val="000000"/>
                <w:sz w:val="18"/>
                <w:szCs w:val="18"/>
              </w:rPr>
              <w:t>Master’s / Ed. Specialist and Post-Masters Certificates</w:t>
            </w:r>
          </w:p>
        </w:tc>
        <w:tc>
          <w:tcPr>
            <w:tcW w:w="4600" w:type="dxa"/>
            <w:tcBorders>
              <w:top w:val="nil"/>
              <w:left w:val="single" w:sz="4" w:space="0" w:color="auto"/>
              <w:bottom w:val="single" w:sz="4" w:space="0" w:color="auto"/>
              <w:right w:val="nil"/>
            </w:tcBorders>
            <w:shd w:val="clear" w:color="auto" w:fill="auto"/>
            <w:noWrap/>
            <w:hideMark/>
          </w:tcPr>
          <w:p w:rsidR="00B63DB4" w:rsidRPr="000F1041" w:rsidRDefault="00B63DB4" w:rsidP="00E7463E">
            <w:pPr>
              <w:rPr>
                <w:color w:val="000000"/>
                <w:sz w:val="18"/>
                <w:szCs w:val="18"/>
              </w:rPr>
            </w:pPr>
            <w:r w:rsidRPr="000F1041">
              <w:rPr>
                <w:color w:val="000000"/>
                <w:sz w:val="18"/>
                <w:szCs w:val="18"/>
              </w:rPr>
              <w:t>7 - Master’s degree</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rsidR="00B63DB4" w:rsidRPr="000F1041" w:rsidRDefault="00B63DB4" w:rsidP="00E7463E">
            <w:pPr>
              <w:rPr>
                <w:sz w:val="18"/>
                <w:szCs w:val="18"/>
              </w:rPr>
            </w:pPr>
            <w:r w:rsidRPr="000F1041">
              <w:rPr>
                <w:sz w:val="18"/>
                <w:szCs w:val="18"/>
              </w:rPr>
              <w:t>now includes Theology degrees formerly in first-professional</w:t>
            </w:r>
          </w:p>
        </w:tc>
      </w:tr>
      <w:tr w:rsidR="00B63DB4" w:rsidRPr="00C42008" w:rsidTr="000F1041">
        <w:trPr>
          <w:trHeight w:val="255"/>
        </w:trPr>
        <w:tc>
          <w:tcPr>
            <w:tcW w:w="1279" w:type="dxa"/>
            <w:vMerge/>
            <w:tcBorders>
              <w:left w:val="single" w:sz="4" w:space="0" w:color="auto"/>
              <w:bottom w:val="single" w:sz="4" w:space="0" w:color="auto"/>
              <w:right w:val="nil"/>
            </w:tcBorders>
          </w:tcPr>
          <w:p w:rsidR="00B63DB4" w:rsidRPr="000F1041" w:rsidRDefault="00B63DB4" w:rsidP="00E7463E">
            <w:pPr>
              <w:rPr>
                <w:color w:val="000000"/>
                <w:sz w:val="18"/>
                <w:szCs w:val="18"/>
              </w:rPr>
            </w:pPr>
          </w:p>
        </w:tc>
        <w:tc>
          <w:tcPr>
            <w:tcW w:w="4600" w:type="dxa"/>
            <w:tcBorders>
              <w:top w:val="nil"/>
              <w:left w:val="single" w:sz="4" w:space="0" w:color="auto"/>
              <w:bottom w:val="single" w:sz="4" w:space="0" w:color="auto"/>
              <w:right w:val="nil"/>
            </w:tcBorders>
            <w:shd w:val="clear" w:color="auto" w:fill="auto"/>
            <w:noWrap/>
            <w:hideMark/>
          </w:tcPr>
          <w:p w:rsidR="00B63DB4" w:rsidRPr="000F1041" w:rsidRDefault="00B63DB4" w:rsidP="00E7463E">
            <w:pPr>
              <w:rPr>
                <w:color w:val="000000"/>
                <w:sz w:val="18"/>
                <w:szCs w:val="18"/>
              </w:rPr>
            </w:pPr>
            <w:r w:rsidRPr="000F1041">
              <w:rPr>
                <w:color w:val="000000"/>
                <w:sz w:val="18"/>
                <w:szCs w:val="18"/>
              </w:rPr>
              <w:t>8 - Post-master’s certificate</w:t>
            </w:r>
          </w:p>
        </w:tc>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B63DB4" w:rsidRPr="000F1041" w:rsidRDefault="00B63DB4" w:rsidP="00E7463E">
            <w:pPr>
              <w:rPr>
                <w:color w:val="000000"/>
                <w:sz w:val="18"/>
                <w:szCs w:val="18"/>
              </w:rPr>
            </w:pPr>
            <w:r w:rsidRPr="000F1041">
              <w:rPr>
                <w:color w:val="000000"/>
                <w:sz w:val="18"/>
                <w:szCs w:val="18"/>
              </w:rPr>
              <w:t>now includes former code 11</w:t>
            </w:r>
          </w:p>
        </w:tc>
      </w:tr>
      <w:tr w:rsidR="00B63DB4" w:rsidRPr="00C42008" w:rsidTr="000F1041">
        <w:trPr>
          <w:trHeight w:val="1997"/>
        </w:trPr>
        <w:tc>
          <w:tcPr>
            <w:tcW w:w="1279" w:type="dxa"/>
            <w:tcBorders>
              <w:top w:val="single" w:sz="4" w:space="0" w:color="auto"/>
              <w:left w:val="single" w:sz="4" w:space="0" w:color="auto"/>
              <w:bottom w:val="single" w:sz="4" w:space="0" w:color="auto"/>
              <w:right w:val="nil"/>
            </w:tcBorders>
          </w:tcPr>
          <w:p w:rsidR="00B63DB4" w:rsidRPr="000F1041" w:rsidRDefault="004B256A" w:rsidP="00E7463E">
            <w:pPr>
              <w:rPr>
                <w:color w:val="000000"/>
                <w:sz w:val="18"/>
                <w:szCs w:val="18"/>
              </w:rPr>
            </w:pPr>
            <w:r w:rsidRPr="000F1041">
              <w:rPr>
                <w:color w:val="000000"/>
                <w:sz w:val="18"/>
                <w:szCs w:val="18"/>
              </w:rPr>
              <w:t>Research and Scholarship Doctorates</w:t>
            </w:r>
          </w:p>
        </w:tc>
        <w:tc>
          <w:tcPr>
            <w:tcW w:w="4600" w:type="dxa"/>
            <w:tcBorders>
              <w:top w:val="single" w:sz="4" w:space="0" w:color="auto"/>
              <w:left w:val="single" w:sz="4" w:space="0" w:color="auto"/>
              <w:bottom w:val="single" w:sz="4" w:space="0" w:color="auto"/>
              <w:right w:val="nil"/>
            </w:tcBorders>
            <w:shd w:val="clear" w:color="auto" w:fill="auto"/>
            <w:noWrap/>
            <w:hideMark/>
          </w:tcPr>
          <w:p w:rsidR="00B63DB4" w:rsidRPr="000F1041" w:rsidRDefault="00B63DB4" w:rsidP="00E7463E">
            <w:pPr>
              <w:rPr>
                <w:color w:val="000000"/>
                <w:sz w:val="18"/>
                <w:szCs w:val="18"/>
              </w:rPr>
            </w:pPr>
            <w:r w:rsidRPr="000F1041">
              <w:rPr>
                <w:color w:val="000000"/>
                <w:sz w:val="18"/>
                <w:szCs w:val="18"/>
              </w:rPr>
              <w:t>9 - Doctor’s degree</w:t>
            </w:r>
          </w:p>
        </w:tc>
        <w:tc>
          <w:tcPr>
            <w:tcW w:w="4900" w:type="dxa"/>
            <w:tcBorders>
              <w:top w:val="nil"/>
              <w:left w:val="single" w:sz="4" w:space="0" w:color="auto"/>
              <w:bottom w:val="single" w:sz="4" w:space="0" w:color="auto"/>
              <w:right w:val="single" w:sz="4" w:space="0" w:color="auto"/>
            </w:tcBorders>
            <w:shd w:val="clear" w:color="auto" w:fill="auto"/>
            <w:hideMark/>
          </w:tcPr>
          <w:p w:rsidR="00B63DB4" w:rsidRPr="000F1041" w:rsidRDefault="00B63DB4" w:rsidP="00E7463E">
            <w:pPr>
              <w:rPr>
                <w:color w:val="000000"/>
                <w:sz w:val="18"/>
                <w:szCs w:val="18"/>
              </w:rPr>
            </w:pPr>
            <w:r w:rsidRPr="000F1041">
              <w:rPr>
                <w:color w:val="000000"/>
                <w:sz w:val="18"/>
                <w:szCs w:val="18"/>
              </w:rPr>
              <w:t xml:space="preserve">17- Doctor's degree - research/scholarship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w:t>
            </w:r>
            <w:proofErr w:type="spellStart"/>
            <w:proofErr w:type="gramStart"/>
            <w:r w:rsidRPr="000F1041">
              <w:rPr>
                <w:color w:val="000000"/>
                <w:sz w:val="18"/>
                <w:szCs w:val="18"/>
              </w:rPr>
              <w:t>Ed.D</w:t>
            </w:r>
            <w:proofErr w:type="spellEnd"/>
            <w:r w:rsidRPr="000F1041">
              <w:rPr>
                <w:color w:val="000000"/>
                <w:sz w:val="18"/>
                <w:szCs w:val="18"/>
              </w:rPr>
              <w:t>.,</w:t>
            </w:r>
            <w:proofErr w:type="gramEnd"/>
            <w:r w:rsidRPr="000F1041">
              <w:rPr>
                <w:color w:val="000000"/>
                <w:sz w:val="18"/>
                <w:szCs w:val="18"/>
              </w:rPr>
              <w:t xml:space="preserve"> D.M.A., D.B.A., D.Sc., D.A., or D.M, and others, as designated by the awarding institution.</w:t>
            </w:r>
          </w:p>
        </w:tc>
      </w:tr>
      <w:tr w:rsidR="00B63DB4" w:rsidRPr="00C42008" w:rsidTr="000F1041">
        <w:trPr>
          <w:trHeight w:val="3140"/>
        </w:trPr>
        <w:tc>
          <w:tcPr>
            <w:tcW w:w="1279" w:type="dxa"/>
            <w:tcBorders>
              <w:top w:val="single" w:sz="4" w:space="0" w:color="auto"/>
              <w:left w:val="single" w:sz="4" w:space="0" w:color="auto"/>
              <w:bottom w:val="nil"/>
              <w:right w:val="single" w:sz="4" w:space="0" w:color="auto"/>
            </w:tcBorders>
          </w:tcPr>
          <w:p w:rsidR="00B63DB4" w:rsidRPr="000F1041" w:rsidRDefault="004B256A" w:rsidP="004B256A">
            <w:pPr>
              <w:rPr>
                <w:color w:val="000000"/>
                <w:sz w:val="18"/>
                <w:szCs w:val="18"/>
              </w:rPr>
            </w:pPr>
            <w:r w:rsidRPr="000F1041">
              <w:rPr>
                <w:color w:val="000000"/>
                <w:sz w:val="18"/>
                <w:szCs w:val="18"/>
              </w:rPr>
              <w:t>Selected Professional Practice Doctorates (Law, Medicine, Dentistry, Pharmacy, Chiropractic Medicine, Optometry, Osteopathic Medicine, Veterinary Medicine, Podiatry and All Other)</w:t>
            </w:r>
          </w:p>
        </w:tc>
        <w:tc>
          <w:tcPr>
            <w:tcW w:w="4600" w:type="dxa"/>
            <w:tcBorders>
              <w:top w:val="single" w:sz="4" w:space="0" w:color="auto"/>
              <w:left w:val="single" w:sz="4" w:space="0" w:color="auto"/>
              <w:bottom w:val="nil"/>
              <w:right w:val="single" w:sz="4" w:space="0" w:color="auto"/>
            </w:tcBorders>
            <w:shd w:val="clear" w:color="auto" w:fill="auto"/>
            <w:hideMark/>
          </w:tcPr>
          <w:p w:rsidR="00B63DB4" w:rsidRPr="000F1041" w:rsidRDefault="00B63DB4" w:rsidP="00E7463E">
            <w:pPr>
              <w:rPr>
                <w:color w:val="000000"/>
                <w:sz w:val="18"/>
                <w:szCs w:val="18"/>
              </w:rPr>
            </w:pPr>
            <w:r w:rsidRPr="000F1041">
              <w:rPr>
                <w:color w:val="000000"/>
                <w:sz w:val="18"/>
                <w:szCs w:val="18"/>
              </w:rPr>
              <w:t>10 - First-professional degree (included Theology)</w:t>
            </w:r>
          </w:p>
        </w:tc>
        <w:tc>
          <w:tcPr>
            <w:tcW w:w="4900" w:type="dxa"/>
            <w:tcBorders>
              <w:top w:val="single" w:sz="4" w:space="0" w:color="auto"/>
              <w:left w:val="nil"/>
              <w:bottom w:val="nil"/>
              <w:right w:val="single" w:sz="4" w:space="0" w:color="auto"/>
            </w:tcBorders>
            <w:shd w:val="clear" w:color="auto" w:fill="auto"/>
            <w:hideMark/>
          </w:tcPr>
          <w:p w:rsidR="00B63DB4" w:rsidRPr="000F1041" w:rsidRDefault="00B63DB4" w:rsidP="00E7463E">
            <w:pPr>
              <w:rPr>
                <w:color w:val="000000"/>
                <w:sz w:val="18"/>
                <w:szCs w:val="18"/>
              </w:rPr>
            </w:pPr>
            <w:r w:rsidRPr="000F1041">
              <w:rPr>
                <w:color w:val="000000"/>
                <w:sz w:val="18"/>
                <w:szCs w:val="18"/>
              </w:rPr>
              <w:t xml:space="preserve">18 - Doctor's degree - professional practice -- Doctor’s degree - professional practice -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w:t>
            </w:r>
            <w:r w:rsidRPr="000F1041">
              <w:rPr>
                <w:sz w:val="18"/>
                <w:szCs w:val="18"/>
              </w:rPr>
              <w:t>professional preparation, equals at least six full-time equivalent academic years. Some of these degrees were formerly classified as “first-professional” and may include: Chiropractic (D.C. or D.C.M.); Dentistry (D.D.S. or D.M.D.); Law (L.L.B. or J.D.); Medicine (M.D.); Optometry (O.D.); Osteopathic Medicine (D.O); Pharmacy (</w:t>
            </w:r>
            <w:proofErr w:type="spellStart"/>
            <w:r w:rsidRPr="000F1041">
              <w:rPr>
                <w:sz w:val="18"/>
                <w:szCs w:val="18"/>
              </w:rPr>
              <w:t>Pharm.D</w:t>
            </w:r>
            <w:proofErr w:type="spellEnd"/>
            <w:r w:rsidRPr="000F1041">
              <w:rPr>
                <w:sz w:val="18"/>
                <w:szCs w:val="18"/>
              </w:rPr>
              <w:t xml:space="preserve">.); Podiatry (D.P.M., </w:t>
            </w:r>
            <w:proofErr w:type="spellStart"/>
            <w:r w:rsidRPr="000F1041">
              <w:rPr>
                <w:sz w:val="18"/>
                <w:szCs w:val="18"/>
              </w:rPr>
              <w:t>Pod.D</w:t>
            </w:r>
            <w:proofErr w:type="spellEnd"/>
            <w:r w:rsidRPr="000F1041">
              <w:rPr>
                <w:sz w:val="18"/>
                <w:szCs w:val="18"/>
              </w:rPr>
              <w:t>., D.P.); or, Veterinary Medicine (D.V.M.), and others, as designated by the awarding institution.</w:t>
            </w:r>
          </w:p>
        </w:tc>
      </w:tr>
      <w:tr w:rsidR="00B63DB4" w:rsidRPr="00C42008" w:rsidTr="00B63DB4">
        <w:trPr>
          <w:trHeight w:val="255"/>
        </w:trPr>
        <w:tc>
          <w:tcPr>
            <w:tcW w:w="1279" w:type="dxa"/>
            <w:tcBorders>
              <w:top w:val="single" w:sz="4" w:space="0" w:color="auto"/>
              <w:left w:val="single" w:sz="4" w:space="0" w:color="auto"/>
              <w:bottom w:val="single" w:sz="4" w:space="0" w:color="auto"/>
              <w:right w:val="nil"/>
            </w:tcBorders>
          </w:tcPr>
          <w:p w:rsidR="00B63DB4" w:rsidRPr="000F1041" w:rsidRDefault="004B256A" w:rsidP="00E7463E">
            <w:pPr>
              <w:rPr>
                <w:color w:val="000000"/>
                <w:sz w:val="18"/>
                <w:szCs w:val="18"/>
              </w:rPr>
            </w:pPr>
            <w:r w:rsidRPr="000F1041">
              <w:rPr>
                <w:color w:val="000000"/>
                <w:sz w:val="18"/>
                <w:szCs w:val="18"/>
              </w:rPr>
              <w:t>Not requested</w:t>
            </w:r>
          </w:p>
        </w:tc>
        <w:tc>
          <w:tcPr>
            <w:tcW w:w="4600" w:type="dxa"/>
            <w:tcBorders>
              <w:top w:val="single" w:sz="4" w:space="0" w:color="auto"/>
              <w:left w:val="single" w:sz="4" w:space="0" w:color="auto"/>
              <w:bottom w:val="single" w:sz="4" w:space="0" w:color="auto"/>
              <w:right w:val="nil"/>
            </w:tcBorders>
            <w:shd w:val="clear" w:color="auto" w:fill="auto"/>
            <w:noWrap/>
            <w:vAlign w:val="bottom"/>
            <w:hideMark/>
          </w:tcPr>
          <w:p w:rsidR="00B63DB4" w:rsidRPr="000F1041" w:rsidRDefault="00B63DB4" w:rsidP="00E7463E">
            <w:pPr>
              <w:rPr>
                <w:color w:val="000000"/>
                <w:sz w:val="18"/>
                <w:szCs w:val="18"/>
              </w:rPr>
            </w:pPr>
            <w:r w:rsidRPr="000F1041">
              <w:rPr>
                <w:color w:val="000000"/>
                <w:sz w:val="18"/>
                <w:szCs w:val="18"/>
              </w:rPr>
              <w:t>11 - First-professional certificate (post-degree)</w:t>
            </w:r>
          </w:p>
        </w:tc>
        <w:tc>
          <w:tcPr>
            <w:tcW w:w="4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3DB4" w:rsidRPr="000F1041" w:rsidRDefault="00B63DB4" w:rsidP="00E7463E">
            <w:pPr>
              <w:rPr>
                <w:color w:val="000000"/>
                <w:sz w:val="18"/>
                <w:szCs w:val="18"/>
              </w:rPr>
            </w:pPr>
            <w:r w:rsidRPr="000F1041">
              <w:rPr>
                <w:color w:val="000000"/>
                <w:sz w:val="18"/>
                <w:szCs w:val="18"/>
              </w:rPr>
              <w:t>now in code 8</w:t>
            </w:r>
          </w:p>
        </w:tc>
      </w:tr>
      <w:tr w:rsidR="000F1041" w:rsidRPr="00C42008" w:rsidTr="00B63DB4">
        <w:trPr>
          <w:trHeight w:val="255"/>
        </w:trPr>
        <w:tc>
          <w:tcPr>
            <w:tcW w:w="1279" w:type="dxa"/>
            <w:tcBorders>
              <w:top w:val="single" w:sz="4" w:space="0" w:color="auto"/>
              <w:left w:val="single" w:sz="4" w:space="0" w:color="auto"/>
              <w:bottom w:val="single" w:sz="4" w:space="0" w:color="auto"/>
              <w:right w:val="nil"/>
            </w:tcBorders>
          </w:tcPr>
          <w:p w:rsidR="000F1041" w:rsidRPr="000F1041" w:rsidRDefault="000F1041" w:rsidP="00E7463E">
            <w:pPr>
              <w:rPr>
                <w:color w:val="000000"/>
                <w:sz w:val="18"/>
                <w:szCs w:val="18"/>
              </w:rPr>
            </w:pPr>
            <w:r>
              <w:rPr>
                <w:color w:val="000000"/>
                <w:sz w:val="18"/>
                <w:szCs w:val="18"/>
              </w:rPr>
              <w:t>Other Doctorates</w:t>
            </w:r>
          </w:p>
        </w:tc>
        <w:tc>
          <w:tcPr>
            <w:tcW w:w="4600" w:type="dxa"/>
            <w:tcBorders>
              <w:top w:val="single" w:sz="4" w:space="0" w:color="auto"/>
              <w:left w:val="single" w:sz="4" w:space="0" w:color="auto"/>
              <w:bottom w:val="single" w:sz="4" w:space="0" w:color="auto"/>
              <w:right w:val="nil"/>
            </w:tcBorders>
            <w:shd w:val="clear" w:color="auto" w:fill="auto"/>
            <w:noWrap/>
            <w:vAlign w:val="bottom"/>
            <w:hideMark/>
          </w:tcPr>
          <w:p w:rsidR="000F1041" w:rsidRPr="000F1041" w:rsidRDefault="000F1041" w:rsidP="00E7463E">
            <w:pPr>
              <w:rPr>
                <w:color w:val="000000"/>
                <w:sz w:val="18"/>
                <w:szCs w:val="18"/>
              </w:rPr>
            </w:pPr>
          </w:p>
        </w:tc>
        <w:tc>
          <w:tcPr>
            <w:tcW w:w="4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1041" w:rsidRPr="000F1041" w:rsidRDefault="000F1041" w:rsidP="00E7463E">
            <w:pPr>
              <w:rPr>
                <w:color w:val="000000"/>
                <w:sz w:val="18"/>
                <w:szCs w:val="18"/>
              </w:rPr>
            </w:pPr>
            <w:r w:rsidRPr="000F1041">
              <w:rPr>
                <w:color w:val="000000"/>
                <w:sz w:val="18"/>
                <w:szCs w:val="18"/>
              </w:rPr>
              <w:t>19 - Doctor's degree, other -- Doctor’s degree - other - A doctor’s degree that does not meet the definition of a doctor’s degree -research/scholarship or a doctor’s degree - professional practice</w:t>
            </w:r>
            <w:r>
              <w:rPr>
                <w:b/>
                <w:color w:val="FF0000"/>
                <w:sz w:val="18"/>
                <w:szCs w:val="18"/>
              </w:rPr>
              <w:t>.</w:t>
            </w:r>
          </w:p>
        </w:tc>
      </w:tr>
    </w:tbl>
    <w:p w:rsidR="00C42008" w:rsidRDefault="00C42008" w:rsidP="008F6347">
      <w:pPr>
        <w:pStyle w:val="DefaultText"/>
        <w:jc w:val="center"/>
        <w:rPr>
          <w:b/>
          <w:bCs/>
          <w:szCs w:val="24"/>
        </w:rPr>
      </w:pPr>
    </w:p>
    <w:p w:rsidR="003F6030" w:rsidRPr="00C42008" w:rsidRDefault="00B9094D" w:rsidP="00B9094D">
      <w:pPr>
        <w:pStyle w:val="DefaultText"/>
        <w:ind w:firstLine="0"/>
        <w:jc w:val="center"/>
        <w:rPr>
          <w:b/>
          <w:bCs/>
          <w:szCs w:val="24"/>
        </w:rPr>
      </w:pPr>
      <w:r>
        <w:rPr>
          <w:b/>
          <w:bCs/>
          <w:szCs w:val="24"/>
        </w:rPr>
        <w:br w:type="page"/>
      </w:r>
      <w:r w:rsidR="003F6030" w:rsidRPr="00C42008">
        <w:rPr>
          <w:b/>
          <w:bCs/>
          <w:szCs w:val="24"/>
        </w:rPr>
        <w:lastRenderedPageBreak/>
        <w:t>Part 2</w:t>
      </w:r>
    </w:p>
    <w:p w:rsidR="003F6030" w:rsidRPr="00C42008" w:rsidRDefault="009866CF" w:rsidP="007C0191">
      <w:pPr>
        <w:pStyle w:val="DefaultText"/>
        <w:ind w:firstLine="0"/>
        <w:jc w:val="center"/>
        <w:rPr>
          <w:b/>
          <w:bCs/>
          <w:szCs w:val="24"/>
        </w:rPr>
      </w:pPr>
      <w:r w:rsidRPr="00C42008">
        <w:rPr>
          <w:b/>
          <w:bCs/>
          <w:szCs w:val="24"/>
        </w:rPr>
        <w:t xml:space="preserve">Student </w:t>
      </w:r>
      <w:r w:rsidR="00B05645" w:rsidRPr="00C42008">
        <w:rPr>
          <w:b/>
          <w:bCs/>
          <w:szCs w:val="24"/>
        </w:rPr>
        <w:t xml:space="preserve">First Year Persistence Rates </w:t>
      </w:r>
      <w:r w:rsidR="004528DD" w:rsidRPr="00C42008">
        <w:rPr>
          <w:b/>
          <w:bCs/>
          <w:szCs w:val="24"/>
        </w:rPr>
        <w:t xml:space="preserve">and </w:t>
      </w:r>
      <w:r w:rsidR="003F6030" w:rsidRPr="00C42008">
        <w:rPr>
          <w:b/>
          <w:bCs/>
          <w:szCs w:val="24"/>
        </w:rPr>
        <w:t>Progression Rates</w:t>
      </w:r>
    </w:p>
    <w:p w:rsidR="003F6030" w:rsidRPr="00C42008" w:rsidRDefault="003F6030">
      <w:pPr>
        <w:pStyle w:val="DefaultText"/>
        <w:jc w:val="center"/>
        <w:rPr>
          <w:szCs w:val="24"/>
        </w:rPr>
      </w:pPr>
    </w:p>
    <w:p w:rsidR="00B05645" w:rsidRPr="00C42008" w:rsidRDefault="003F6030" w:rsidP="006B1834">
      <w:pPr>
        <w:pStyle w:val="DefaultText"/>
        <w:spacing w:after="120"/>
        <w:rPr>
          <w:szCs w:val="24"/>
        </w:rPr>
      </w:pPr>
      <w:r w:rsidRPr="00C42008">
        <w:rPr>
          <w:szCs w:val="24"/>
        </w:rPr>
        <w:t xml:space="preserve">The </w:t>
      </w:r>
      <w:r w:rsidR="004E5567" w:rsidRPr="00C42008">
        <w:rPr>
          <w:szCs w:val="24"/>
        </w:rPr>
        <w:t xml:space="preserve">student </w:t>
      </w:r>
      <w:r w:rsidR="00B05645" w:rsidRPr="00C42008">
        <w:rPr>
          <w:szCs w:val="24"/>
        </w:rPr>
        <w:t xml:space="preserve">first year persistence rate </w:t>
      </w:r>
      <w:r w:rsidR="004528DD" w:rsidRPr="00C42008">
        <w:rPr>
          <w:szCs w:val="24"/>
        </w:rPr>
        <w:t>and p</w:t>
      </w:r>
      <w:r w:rsidRPr="00C42008">
        <w:rPr>
          <w:szCs w:val="24"/>
        </w:rPr>
        <w:t xml:space="preserve">rogression </w:t>
      </w:r>
      <w:r w:rsidR="004528DD" w:rsidRPr="00C42008">
        <w:rPr>
          <w:szCs w:val="24"/>
        </w:rPr>
        <w:t>r</w:t>
      </w:r>
      <w:r w:rsidRPr="00C42008">
        <w:rPr>
          <w:szCs w:val="24"/>
        </w:rPr>
        <w:t xml:space="preserve">ate survey collects </w:t>
      </w:r>
      <w:r w:rsidR="00847A71" w:rsidRPr="00C42008">
        <w:rPr>
          <w:szCs w:val="24"/>
        </w:rPr>
        <w:t xml:space="preserve">data elements equivalent to </w:t>
      </w:r>
      <w:r w:rsidRPr="00C42008">
        <w:rPr>
          <w:szCs w:val="24"/>
        </w:rPr>
        <w:t>portion</w:t>
      </w:r>
      <w:r w:rsidR="00FB56E7" w:rsidRPr="00C42008">
        <w:rPr>
          <w:szCs w:val="24"/>
        </w:rPr>
        <w:t>s</w:t>
      </w:r>
      <w:r w:rsidRPr="00C42008">
        <w:rPr>
          <w:szCs w:val="24"/>
        </w:rPr>
        <w:t xml:space="preserve"> of </w:t>
      </w:r>
      <w:r w:rsidR="004E5567" w:rsidRPr="00C42008">
        <w:rPr>
          <w:szCs w:val="24"/>
        </w:rPr>
        <w:t xml:space="preserve">the </w:t>
      </w:r>
      <w:r w:rsidRPr="00C42008">
        <w:rPr>
          <w:szCs w:val="24"/>
        </w:rPr>
        <w:t>National Center for</w:t>
      </w:r>
      <w:r w:rsidR="00B05645" w:rsidRPr="00C42008">
        <w:rPr>
          <w:szCs w:val="24"/>
        </w:rPr>
        <w:t xml:space="preserve"> </w:t>
      </w:r>
      <w:r w:rsidRPr="00C42008">
        <w:rPr>
          <w:szCs w:val="24"/>
        </w:rPr>
        <w:t xml:space="preserve">Education Statistics “IPEDS” </w:t>
      </w:r>
      <w:r w:rsidR="00B05645" w:rsidRPr="00C42008">
        <w:rPr>
          <w:szCs w:val="24"/>
        </w:rPr>
        <w:t>s</w:t>
      </w:r>
      <w:r w:rsidRPr="00C42008">
        <w:rPr>
          <w:szCs w:val="24"/>
        </w:rPr>
        <w:t>urvey</w:t>
      </w:r>
      <w:r w:rsidR="00B05645" w:rsidRPr="00C42008">
        <w:rPr>
          <w:szCs w:val="24"/>
        </w:rPr>
        <w:t>s</w:t>
      </w:r>
      <w:r w:rsidRPr="00C42008">
        <w:rPr>
          <w:szCs w:val="24"/>
        </w:rPr>
        <w:t xml:space="preserve"> and additional </w:t>
      </w:r>
      <w:r w:rsidR="00847A71" w:rsidRPr="00C42008">
        <w:rPr>
          <w:szCs w:val="24"/>
        </w:rPr>
        <w:t>data elements</w:t>
      </w:r>
      <w:r w:rsidR="00B05645" w:rsidRPr="00C42008">
        <w:rPr>
          <w:szCs w:val="24"/>
        </w:rPr>
        <w:t>.</w:t>
      </w:r>
    </w:p>
    <w:p w:rsidR="003F6030" w:rsidRPr="00C42008" w:rsidRDefault="003F6030" w:rsidP="00FE71BF">
      <w:pPr>
        <w:pStyle w:val="DefaultText"/>
        <w:spacing w:after="120"/>
        <w:ind w:firstLine="0"/>
        <w:rPr>
          <w:b/>
          <w:szCs w:val="24"/>
        </w:rPr>
      </w:pPr>
      <w:r w:rsidRPr="00C42008">
        <w:rPr>
          <w:b/>
          <w:szCs w:val="24"/>
        </w:rPr>
        <w:t>For each public four-year college or university, please enter</w:t>
      </w:r>
      <w:r w:rsidR="00FE71BF" w:rsidRPr="00C42008">
        <w:rPr>
          <w:b/>
          <w:szCs w:val="24"/>
        </w:rPr>
        <w:t>:</w:t>
      </w:r>
    </w:p>
    <w:p w:rsidR="00276EF9" w:rsidRPr="00C42008" w:rsidRDefault="00A65076" w:rsidP="004A194A">
      <w:pPr>
        <w:pStyle w:val="DefaultText"/>
        <w:numPr>
          <w:ilvl w:val="0"/>
          <w:numId w:val="14"/>
        </w:numPr>
        <w:tabs>
          <w:tab w:val="clear" w:pos="1080"/>
          <w:tab w:val="num" w:pos="360"/>
        </w:tabs>
        <w:ind w:left="360"/>
        <w:rPr>
          <w:szCs w:val="24"/>
        </w:rPr>
      </w:pPr>
      <w:r w:rsidRPr="00C42008">
        <w:rPr>
          <w:szCs w:val="24"/>
        </w:rPr>
        <w:t xml:space="preserve">The total </w:t>
      </w:r>
      <w:r w:rsidR="00CE53A9" w:rsidRPr="00C42008">
        <w:rPr>
          <w:szCs w:val="24"/>
        </w:rPr>
        <w:t xml:space="preserve">entering students at the undergraduate level </w:t>
      </w:r>
      <w:r w:rsidRPr="00C42008">
        <w:rPr>
          <w:szCs w:val="24"/>
        </w:rPr>
        <w:t>for fall term</w:t>
      </w:r>
      <w:r w:rsidR="00FE71BF" w:rsidRPr="00C42008">
        <w:rPr>
          <w:szCs w:val="24"/>
        </w:rPr>
        <w:t xml:space="preserve"> </w:t>
      </w:r>
      <w:r w:rsidR="00E40B6A" w:rsidRPr="00C42008">
        <w:rPr>
          <w:szCs w:val="24"/>
        </w:rPr>
        <w:t>20</w:t>
      </w:r>
      <w:r w:rsidR="005E4870">
        <w:rPr>
          <w:szCs w:val="24"/>
        </w:rPr>
        <w:t>10</w:t>
      </w:r>
      <w:r w:rsidR="00FE71BF" w:rsidRPr="00C42008">
        <w:rPr>
          <w:szCs w:val="24"/>
        </w:rPr>
        <w:t xml:space="preserve"> </w:t>
      </w:r>
      <w:r w:rsidRPr="00C42008">
        <w:rPr>
          <w:szCs w:val="24"/>
        </w:rPr>
        <w:t>(</w:t>
      </w:r>
      <w:r w:rsidR="00713BEC" w:rsidRPr="00C42008">
        <w:rPr>
          <w:szCs w:val="24"/>
        </w:rPr>
        <w:t xml:space="preserve">equivalent to </w:t>
      </w:r>
      <w:r w:rsidRPr="00C42008">
        <w:rPr>
          <w:szCs w:val="24"/>
        </w:rPr>
        <w:t xml:space="preserve">IPEDS </w:t>
      </w:r>
      <w:r w:rsidR="004C38EC" w:rsidRPr="00C42008">
        <w:rPr>
          <w:szCs w:val="24"/>
        </w:rPr>
        <w:t>E</w:t>
      </w:r>
      <w:r w:rsidRPr="00C42008">
        <w:rPr>
          <w:szCs w:val="24"/>
        </w:rPr>
        <w:t>F data element</w:t>
      </w:r>
      <w:r w:rsidR="00CE53A9" w:rsidRPr="00C42008">
        <w:rPr>
          <w:szCs w:val="24"/>
        </w:rPr>
        <w:t xml:space="preserve"> UGENTERN</w:t>
      </w:r>
      <w:r w:rsidRPr="00C42008">
        <w:rPr>
          <w:szCs w:val="24"/>
        </w:rPr>
        <w:t>)</w:t>
      </w:r>
      <w:r w:rsidR="004A194A" w:rsidRPr="00C42008">
        <w:rPr>
          <w:szCs w:val="24"/>
        </w:rPr>
        <w:t>. That is, i</w:t>
      </w:r>
      <w:r w:rsidR="00276EF9" w:rsidRPr="00C42008">
        <w:rPr>
          <w:szCs w:val="24"/>
        </w:rPr>
        <w:t>n addition to the students in the GRS cohort (full-time</w:t>
      </w:r>
      <w:r w:rsidR="004A194A" w:rsidRPr="00C42008">
        <w:rPr>
          <w:szCs w:val="24"/>
        </w:rPr>
        <w:t>,</w:t>
      </w:r>
      <w:r w:rsidR="00276EF9" w:rsidRPr="00C42008">
        <w:rPr>
          <w:szCs w:val="24"/>
        </w:rPr>
        <w:t xml:space="preserve"> first-time degree/certificate-seeking), this include</w:t>
      </w:r>
      <w:r w:rsidR="004A194A" w:rsidRPr="00C42008">
        <w:rPr>
          <w:szCs w:val="24"/>
        </w:rPr>
        <w:t>s</w:t>
      </w:r>
      <w:r w:rsidR="00276EF9" w:rsidRPr="00C42008">
        <w:rPr>
          <w:szCs w:val="24"/>
        </w:rPr>
        <w:t>: part -time undergraduate students, non-degree/certificate-seeking undergraduates, students who initially attended the prior summer term and returned again in the fall (other than those included in the GRS cohort) and students transferring into your institution at any undergraduate level for the first time. O</w:t>
      </w:r>
      <w:r w:rsidR="004A194A" w:rsidRPr="00C42008">
        <w:rPr>
          <w:szCs w:val="24"/>
        </w:rPr>
        <w:t>nly students in credit bearing activity are counted.</w:t>
      </w:r>
    </w:p>
    <w:p w:rsidR="003F6030" w:rsidRPr="00C42008" w:rsidRDefault="003F6030" w:rsidP="00BC6A42">
      <w:pPr>
        <w:pStyle w:val="DefaultText"/>
        <w:numPr>
          <w:ilvl w:val="0"/>
          <w:numId w:val="14"/>
        </w:numPr>
        <w:tabs>
          <w:tab w:val="clear" w:pos="1080"/>
          <w:tab w:val="num" w:pos="360"/>
        </w:tabs>
        <w:ind w:left="360"/>
        <w:rPr>
          <w:szCs w:val="24"/>
        </w:rPr>
      </w:pPr>
      <w:r w:rsidRPr="00C42008">
        <w:rPr>
          <w:szCs w:val="24"/>
        </w:rPr>
        <w:t xml:space="preserve">The cohort of all full-time, first-time bachelor’s or equivalent degree seeking undergraduates </w:t>
      </w:r>
      <w:r w:rsidR="00A65076" w:rsidRPr="00C42008">
        <w:rPr>
          <w:szCs w:val="24"/>
        </w:rPr>
        <w:t>for fall term</w:t>
      </w:r>
      <w:r w:rsidR="00FE71BF" w:rsidRPr="00C42008">
        <w:rPr>
          <w:szCs w:val="24"/>
        </w:rPr>
        <w:t xml:space="preserve"> </w:t>
      </w:r>
      <w:r w:rsidR="00E40B6A" w:rsidRPr="00C42008">
        <w:rPr>
          <w:szCs w:val="24"/>
        </w:rPr>
        <w:t>20</w:t>
      </w:r>
      <w:r w:rsidR="005E4870">
        <w:rPr>
          <w:szCs w:val="24"/>
        </w:rPr>
        <w:t>10</w:t>
      </w:r>
      <w:r w:rsidR="00FE71BF" w:rsidRPr="00C42008">
        <w:rPr>
          <w:szCs w:val="24"/>
        </w:rPr>
        <w:t xml:space="preserve"> </w:t>
      </w:r>
      <w:r w:rsidRPr="00C42008">
        <w:rPr>
          <w:szCs w:val="24"/>
        </w:rPr>
        <w:t>(</w:t>
      </w:r>
      <w:r w:rsidR="00713BEC" w:rsidRPr="00C42008">
        <w:rPr>
          <w:szCs w:val="24"/>
        </w:rPr>
        <w:t xml:space="preserve">equivalent to </w:t>
      </w:r>
      <w:r w:rsidR="00FE0BAF" w:rsidRPr="00C42008">
        <w:rPr>
          <w:szCs w:val="24"/>
        </w:rPr>
        <w:t xml:space="preserve">an </w:t>
      </w:r>
      <w:r w:rsidR="004C38EC" w:rsidRPr="00C42008">
        <w:rPr>
          <w:szCs w:val="24"/>
        </w:rPr>
        <w:t xml:space="preserve">IPEDS </w:t>
      </w:r>
      <w:r w:rsidRPr="00C42008">
        <w:rPr>
          <w:szCs w:val="24"/>
        </w:rPr>
        <w:t>GRS</w:t>
      </w:r>
      <w:r w:rsidR="004528DD" w:rsidRPr="00C42008">
        <w:rPr>
          <w:szCs w:val="24"/>
        </w:rPr>
        <w:t xml:space="preserve"> data element</w:t>
      </w:r>
      <w:r w:rsidRPr="00C42008">
        <w:rPr>
          <w:szCs w:val="24"/>
        </w:rPr>
        <w:t>)</w:t>
      </w:r>
      <w:r w:rsidR="00281EFB" w:rsidRPr="00C42008">
        <w:rPr>
          <w:szCs w:val="24"/>
        </w:rPr>
        <w:t xml:space="preserve"> This is the cohort upon which the four-year </w:t>
      </w:r>
      <w:r w:rsidR="004A194A" w:rsidRPr="00C42008">
        <w:rPr>
          <w:szCs w:val="24"/>
        </w:rPr>
        <w:t xml:space="preserve">college </w:t>
      </w:r>
      <w:r w:rsidR="00281EFB" w:rsidRPr="00C42008">
        <w:rPr>
          <w:szCs w:val="24"/>
        </w:rPr>
        <w:t>persistence and progression calculations are based</w:t>
      </w:r>
      <w:r w:rsidRPr="00C42008">
        <w:rPr>
          <w:szCs w:val="24"/>
        </w:rPr>
        <w:t>;</w:t>
      </w:r>
    </w:p>
    <w:p w:rsidR="003F6030" w:rsidRPr="00C42008" w:rsidRDefault="003F6030" w:rsidP="00BC6A42">
      <w:pPr>
        <w:pStyle w:val="DefaultText"/>
        <w:numPr>
          <w:ilvl w:val="0"/>
          <w:numId w:val="14"/>
        </w:numPr>
        <w:tabs>
          <w:tab w:val="clear" w:pos="1080"/>
          <w:tab w:val="num" w:pos="360"/>
          <w:tab w:val="num" w:pos="648"/>
        </w:tabs>
        <w:ind w:left="360"/>
        <w:rPr>
          <w:szCs w:val="24"/>
        </w:rPr>
      </w:pPr>
      <w:r w:rsidRPr="00C42008">
        <w:rPr>
          <w:szCs w:val="24"/>
        </w:rPr>
        <w:t xml:space="preserve">Allowable exclusions from the </w:t>
      </w:r>
      <w:r w:rsidR="00A65076" w:rsidRPr="00C42008">
        <w:rPr>
          <w:szCs w:val="24"/>
        </w:rPr>
        <w:t xml:space="preserve">fall </w:t>
      </w:r>
      <w:r w:rsidR="00E40B6A" w:rsidRPr="00C42008">
        <w:rPr>
          <w:szCs w:val="24"/>
        </w:rPr>
        <w:t>20</w:t>
      </w:r>
      <w:r w:rsidR="005E4870">
        <w:rPr>
          <w:szCs w:val="24"/>
        </w:rPr>
        <w:t>10</w:t>
      </w:r>
      <w:r w:rsidR="00FE71BF" w:rsidRPr="00C42008">
        <w:rPr>
          <w:szCs w:val="24"/>
        </w:rPr>
        <w:t xml:space="preserve"> </w:t>
      </w:r>
      <w:r w:rsidRPr="00C42008">
        <w:rPr>
          <w:szCs w:val="24"/>
        </w:rPr>
        <w:t>cohort (</w:t>
      </w:r>
      <w:r w:rsidR="00713BEC" w:rsidRPr="00C42008">
        <w:rPr>
          <w:szCs w:val="24"/>
        </w:rPr>
        <w:t xml:space="preserve">equivalent to </w:t>
      </w:r>
      <w:r w:rsidR="00FE0BAF" w:rsidRPr="00C42008">
        <w:rPr>
          <w:szCs w:val="24"/>
        </w:rPr>
        <w:t xml:space="preserve">an </w:t>
      </w:r>
      <w:r w:rsidR="004C38EC" w:rsidRPr="00C42008">
        <w:rPr>
          <w:szCs w:val="24"/>
        </w:rPr>
        <w:t xml:space="preserve">IPEDS </w:t>
      </w:r>
      <w:r w:rsidR="004528DD" w:rsidRPr="00C42008">
        <w:rPr>
          <w:szCs w:val="24"/>
        </w:rPr>
        <w:t>GRS data element</w:t>
      </w:r>
      <w:r w:rsidRPr="00C42008">
        <w:rPr>
          <w:szCs w:val="24"/>
        </w:rPr>
        <w:t>);</w:t>
      </w:r>
    </w:p>
    <w:p w:rsidR="00A65076" w:rsidRPr="00C42008" w:rsidRDefault="003F6030" w:rsidP="00BC6A42">
      <w:pPr>
        <w:pStyle w:val="DefaultText"/>
        <w:numPr>
          <w:ilvl w:val="0"/>
          <w:numId w:val="14"/>
        </w:numPr>
        <w:tabs>
          <w:tab w:val="clear" w:pos="1080"/>
          <w:tab w:val="num" w:pos="360"/>
          <w:tab w:val="num" w:pos="648"/>
        </w:tabs>
        <w:ind w:left="360"/>
        <w:rPr>
          <w:szCs w:val="24"/>
        </w:rPr>
      </w:pPr>
      <w:r w:rsidRPr="00C42008">
        <w:rPr>
          <w:szCs w:val="24"/>
          <w:u w:val="single"/>
        </w:rPr>
        <w:t xml:space="preserve">For </w:t>
      </w:r>
      <w:r w:rsidR="00B05645" w:rsidRPr="00C42008">
        <w:rPr>
          <w:szCs w:val="24"/>
          <w:u w:val="single"/>
        </w:rPr>
        <w:t>first year persistence</w:t>
      </w:r>
      <w:r w:rsidRPr="00C42008">
        <w:rPr>
          <w:szCs w:val="24"/>
          <w:u w:val="single"/>
        </w:rPr>
        <w:t xml:space="preserve"> rates:</w:t>
      </w:r>
      <w:r w:rsidRPr="00C42008">
        <w:rPr>
          <w:szCs w:val="24"/>
        </w:rPr>
        <w:t xml:space="preserve"> </w:t>
      </w:r>
      <w:r w:rsidR="00A65076" w:rsidRPr="00C42008">
        <w:rPr>
          <w:szCs w:val="24"/>
        </w:rPr>
        <w:t xml:space="preserve">for the fall </w:t>
      </w:r>
      <w:r w:rsidR="00E40B6A" w:rsidRPr="00C42008">
        <w:rPr>
          <w:szCs w:val="24"/>
        </w:rPr>
        <w:t>20</w:t>
      </w:r>
      <w:r w:rsidR="005E4870">
        <w:rPr>
          <w:szCs w:val="24"/>
        </w:rPr>
        <w:t>10</w:t>
      </w:r>
      <w:r w:rsidR="00FE71BF" w:rsidRPr="00C42008">
        <w:rPr>
          <w:szCs w:val="24"/>
        </w:rPr>
        <w:t xml:space="preserve"> </w:t>
      </w:r>
      <w:r w:rsidR="00A65076" w:rsidRPr="00C42008">
        <w:rPr>
          <w:szCs w:val="24"/>
        </w:rPr>
        <w:t>cohort</w:t>
      </w:r>
      <w:r w:rsidR="00137214" w:rsidRPr="00C42008">
        <w:rPr>
          <w:szCs w:val="24"/>
        </w:rPr>
        <w:t>,</w:t>
      </w:r>
      <w:r w:rsidR="00A65076" w:rsidRPr="00C42008">
        <w:rPr>
          <w:szCs w:val="24"/>
        </w:rPr>
        <w:t xml:space="preserve"> </w:t>
      </w:r>
      <w:r w:rsidRPr="00C42008">
        <w:rPr>
          <w:szCs w:val="24"/>
        </w:rPr>
        <w:t>enter members of th</w:t>
      </w:r>
      <w:r w:rsidR="003C448D" w:rsidRPr="00C42008">
        <w:rPr>
          <w:szCs w:val="24"/>
        </w:rPr>
        <w:t>e</w:t>
      </w:r>
      <w:r w:rsidRPr="00C42008">
        <w:rPr>
          <w:szCs w:val="24"/>
        </w:rPr>
        <w:t xml:space="preserve"> cohort enrolled at the same institution during </w:t>
      </w:r>
      <w:r w:rsidR="003C448D" w:rsidRPr="00C42008">
        <w:rPr>
          <w:szCs w:val="24"/>
        </w:rPr>
        <w:t xml:space="preserve">the subsequent </w:t>
      </w:r>
      <w:r w:rsidRPr="00C42008">
        <w:rPr>
          <w:szCs w:val="24"/>
        </w:rPr>
        <w:t xml:space="preserve">fall </w:t>
      </w:r>
      <w:r w:rsidR="003C448D" w:rsidRPr="00C42008">
        <w:rPr>
          <w:szCs w:val="24"/>
        </w:rPr>
        <w:t xml:space="preserve">term </w:t>
      </w:r>
      <w:r w:rsidR="00847A71" w:rsidRPr="00C42008">
        <w:rPr>
          <w:szCs w:val="24"/>
        </w:rPr>
        <w:t>(</w:t>
      </w:r>
      <w:r w:rsidR="00516430" w:rsidRPr="00C42008">
        <w:rPr>
          <w:szCs w:val="24"/>
        </w:rPr>
        <w:t xml:space="preserve">equivalent to </w:t>
      </w:r>
      <w:r w:rsidR="00FE0BAF" w:rsidRPr="00C42008">
        <w:rPr>
          <w:szCs w:val="24"/>
        </w:rPr>
        <w:t>a</w:t>
      </w:r>
      <w:r w:rsidR="00B05645" w:rsidRPr="00C42008">
        <w:rPr>
          <w:szCs w:val="24"/>
        </w:rPr>
        <w:t>n</w:t>
      </w:r>
      <w:r w:rsidR="00FE0BAF" w:rsidRPr="00C42008">
        <w:rPr>
          <w:szCs w:val="24"/>
        </w:rPr>
        <w:t xml:space="preserve"> </w:t>
      </w:r>
      <w:r w:rsidR="004C38EC" w:rsidRPr="00C42008">
        <w:rPr>
          <w:szCs w:val="24"/>
        </w:rPr>
        <w:t xml:space="preserve">IPEDS </w:t>
      </w:r>
      <w:r w:rsidR="00B05645" w:rsidRPr="00C42008">
        <w:rPr>
          <w:szCs w:val="24"/>
        </w:rPr>
        <w:t xml:space="preserve">EF </w:t>
      </w:r>
      <w:r w:rsidR="00516430" w:rsidRPr="00C42008">
        <w:rPr>
          <w:szCs w:val="24"/>
        </w:rPr>
        <w:t>data element</w:t>
      </w:r>
      <w:r w:rsidR="00A65076" w:rsidRPr="00C42008">
        <w:rPr>
          <w:szCs w:val="24"/>
        </w:rPr>
        <w:t>);</w:t>
      </w:r>
      <w:r w:rsidR="00A97101" w:rsidRPr="00C42008">
        <w:rPr>
          <w:szCs w:val="24"/>
        </w:rPr>
        <w:t xml:space="preserve"> then </w:t>
      </w:r>
    </w:p>
    <w:p w:rsidR="003F6030" w:rsidRPr="00C42008" w:rsidRDefault="003F6030" w:rsidP="00BC6A42">
      <w:pPr>
        <w:pStyle w:val="DefaultText"/>
        <w:numPr>
          <w:ilvl w:val="0"/>
          <w:numId w:val="14"/>
        </w:numPr>
        <w:tabs>
          <w:tab w:val="clear" w:pos="1080"/>
          <w:tab w:val="num" w:pos="360"/>
          <w:tab w:val="num" w:pos="648"/>
        </w:tabs>
        <w:ind w:left="360"/>
        <w:rPr>
          <w:szCs w:val="24"/>
        </w:rPr>
      </w:pPr>
      <w:r w:rsidRPr="00C42008">
        <w:rPr>
          <w:szCs w:val="24"/>
        </w:rPr>
        <w:t>Oth</w:t>
      </w:r>
      <w:r w:rsidR="00A97101" w:rsidRPr="00C42008">
        <w:rPr>
          <w:szCs w:val="24"/>
        </w:rPr>
        <w:t>er students who transferred</w:t>
      </w:r>
      <w:r w:rsidR="00137214" w:rsidRPr="00C42008">
        <w:rPr>
          <w:szCs w:val="24"/>
        </w:rPr>
        <w:t xml:space="preserve"> </w:t>
      </w:r>
      <w:r w:rsidR="00A97101" w:rsidRPr="00C42008">
        <w:rPr>
          <w:szCs w:val="24"/>
        </w:rPr>
        <w:t xml:space="preserve">out: for the fall </w:t>
      </w:r>
      <w:r w:rsidR="00E40B6A" w:rsidRPr="00C42008">
        <w:rPr>
          <w:szCs w:val="24"/>
        </w:rPr>
        <w:t>20</w:t>
      </w:r>
      <w:r w:rsidR="005E4870">
        <w:rPr>
          <w:szCs w:val="24"/>
        </w:rPr>
        <w:t>10</w:t>
      </w:r>
      <w:r w:rsidR="00FE71BF" w:rsidRPr="00C42008">
        <w:rPr>
          <w:szCs w:val="24"/>
        </w:rPr>
        <w:t xml:space="preserve"> </w:t>
      </w:r>
      <w:r w:rsidR="00A97101" w:rsidRPr="00C42008">
        <w:rPr>
          <w:szCs w:val="24"/>
        </w:rPr>
        <w:t>cohort</w:t>
      </w:r>
      <w:r w:rsidR="004C38EC" w:rsidRPr="00C42008">
        <w:rPr>
          <w:szCs w:val="24"/>
        </w:rPr>
        <w:t>,</w:t>
      </w:r>
      <w:r w:rsidR="00A97101" w:rsidRPr="00C42008">
        <w:rPr>
          <w:szCs w:val="24"/>
        </w:rPr>
        <w:t xml:space="preserve"> </w:t>
      </w:r>
      <w:r w:rsidRPr="00C42008">
        <w:rPr>
          <w:szCs w:val="24"/>
        </w:rPr>
        <w:t xml:space="preserve">by </w:t>
      </w:r>
      <w:r w:rsidR="00847A71" w:rsidRPr="00C42008">
        <w:rPr>
          <w:szCs w:val="24"/>
        </w:rPr>
        <w:t xml:space="preserve">the end of the </w:t>
      </w:r>
      <w:r w:rsidR="003C448D" w:rsidRPr="00C42008">
        <w:rPr>
          <w:szCs w:val="24"/>
        </w:rPr>
        <w:t xml:space="preserve">subsequent </w:t>
      </w:r>
      <w:r w:rsidR="00847A71" w:rsidRPr="00C42008">
        <w:rPr>
          <w:szCs w:val="24"/>
        </w:rPr>
        <w:t>fall term</w:t>
      </w:r>
      <w:r w:rsidR="003C448D" w:rsidRPr="00C42008">
        <w:rPr>
          <w:szCs w:val="24"/>
        </w:rPr>
        <w:t>s</w:t>
      </w:r>
      <w:r w:rsidRPr="00C42008">
        <w:rPr>
          <w:szCs w:val="24"/>
        </w:rPr>
        <w:t>;</w:t>
      </w:r>
      <w:r w:rsidR="00FB56E7" w:rsidRPr="00C42008">
        <w:rPr>
          <w:szCs w:val="24"/>
        </w:rPr>
        <w:t xml:space="preserve"> </w:t>
      </w:r>
      <w:r w:rsidR="00A97101" w:rsidRPr="00C42008">
        <w:rPr>
          <w:szCs w:val="24"/>
        </w:rPr>
        <w:t xml:space="preserve">then </w:t>
      </w:r>
    </w:p>
    <w:p w:rsidR="003F6030" w:rsidRPr="00C42008" w:rsidRDefault="003F6030" w:rsidP="00BC6A42">
      <w:pPr>
        <w:pStyle w:val="DefaultText"/>
        <w:numPr>
          <w:ilvl w:val="0"/>
          <w:numId w:val="14"/>
        </w:numPr>
        <w:tabs>
          <w:tab w:val="clear" w:pos="1080"/>
          <w:tab w:val="num" w:pos="360"/>
          <w:tab w:val="num" w:pos="648"/>
        </w:tabs>
        <w:ind w:left="360"/>
        <w:rPr>
          <w:szCs w:val="24"/>
        </w:rPr>
      </w:pPr>
      <w:r w:rsidRPr="00C42008">
        <w:rPr>
          <w:szCs w:val="24"/>
          <w:u w:val="single"/>
        </w:rPr>
        <w:t xml:space="preserve">For </w:t>
      </w:r>
      <w:r w:rsidR="00A65076" w:rsidRPr="00C42008">
        <w:rPr>
          <w:szCs w:val="24"/>
          <w:u w:val="single"/>
        </w:rPr>
        <w:t xml:space="preserve">progression </w:t>
      </w:r>
      <w:r w:rsidRPr="00C42008">
        <w:rPr>
          <w:szCs w:val="24"/>
          <w:u w:val="single"/>
        </w:rPr>
        <w:t>rates:</w:t>
      </w:r>
      <w:r w:rsidRPr="00C42008">
        <w:rPr>
          <w:szCs w:val="24"/>
        </w:rPr>
        <w:t xml:space="preserve"> members of the </w:t>
      </w:r>
      <w:r w:rsidR="00E40B6A" w:rsidRPr="00C42008">
        <w:rPr>
          <w:szCs w:val="24"/>
        </w:rPr>
        <w:t>200</w:t>
      </w:r>
      <w:r w:rsidR="005E4870">
        <w:rPr>
          <w:szCs w:val="24"/>
        </w:rPr>
        <w:t>5</w:t>
      </w:r>
      <w:r w:rsidR="009844C7" w:rsidRPr="00C42008">
        <w:rPr>
          <w:szCs w:val="24"/>
        </w:rPr>
        <w:t xml:space="preserve"> </w:t>
      </w:r>
      <w:r w:rsidRPr="00C42008">
        <w:rPr>
          <w:szCs w:val="24"/>
        </w:rPr>
        <w:t>cohort earning a bachelor’s or equivalent degree who completed their program within 150% of normal time (6 years) (</w:t>
      </w:r>
      <w:r w:rsidR="00516430" w:rsidRPr="00C42008">
        <w:rPr>
          <w:szCs w:val="24"/>
        </w:rPr>
        <w:t xml:space="preserve">equivalent to </w:t>
      </w:r>
      <w:r w:rsidR="00FE0BAF" w:rsidRPr="00C42008">
        <w:rPr>
          <w:szCs w:val="24"/>
        </w:rPr>
        <w:t xml:space="preserve">an </w:t>
      </w:r>
      <w:r w:rsidR="004C38EC" w:rsidRPr="00C42008">
        <w:rPr>
          <w:szCs w:val="24"/>
        </w:rPr>
        <w:t xml:space="preserve">IPEDS </w:t>
      </w:r>
      <w:r w:rsidR="00A65076" w:rsidRPr="00C42008">
        <w:rPr>
          <w:szCs w:val="24"/>
        </w:rPr>
        <w:t>GRS data element</w:t>
      </w:r>
      <w:r w:rsidRPr="00C42008">
        <w:rPr>
          <w:szCs w:val="24"/>
        </w:rPr>
        <w:t>);</w:t>
      </w:r>
      <w:r w:rsidR="00A97101" w:rsidRPr="00C42008">
        <w:rPr>
          <w:szCs w:val="24"/>
        </w:rPr>
        <w:t xml:space="preserve"> then, for members of the </w:t>
      </w:r>
      <w:r w:rsidR="002D678A">
        <w:rPr>
          <w:szCs w:val="24"/>
        </w:rPr>
        <w:t>200</w:t>
      </w:r>
      <w:r w:rsidR="005E4870">
        <w:rPr>
          <w:szCs w:val="24"/>
        </w:rPr>
        <w:t>1</w:t>
      </w:r>
      <w:r w:rsidR="009844C7" w:rsidRPr="00C42008">
        <w:rPr>
          <w:szCs w:val="24"/>
        </w:rPr>
        <w:t xml:space="preserve"> </w:t>
      </w:r>
      <w:r w:rsidR="00A97101" w:rsidRPr="00C42008">
        <w:rPr>
          <w:szCs w:val="24"/>
        </w:rPr>
        <w:t xml:space="preserve">cohort, those earning a bachelor’s or equivalent degree who completed their program by Aug. 31, </w:t>
      </w:r>
      <w:r w:rsidR="00E40B6A" w:rsidRPr="00C42008">
        <w:rPr>
          <w:szCs w:val="24"/>
        </w:rPr>
        <w:t>20</w:t>
      </w:r>
      <w:r w:rsidR="002D678A">
        <w:rPr>
          <w:szCs w:val="24"/>
        </w:rPr>
        <w:t>1</w:t>
      </w:r>
      <w:r w:rsidR="005E4870">
        <w:rPr>
          <w:szCs w:val="24"/>
        </w:rPr>
        <w:t>1</w:t>
      </w:r>
      <w:r w:rsidR="00A97101" w:rsidRPr="00C42008">
        <w:rPr>
          <w:szCs w:val="24"/>
        </w:rPr>
        <w:t xml:space="preserve"> (10 years)</w:t>
      </w:r>
      <w:r w:rsidR="004C38EC" w:rsidRPr="00C42008">
        <w:rPr>
          <w:szCs w:val="24"/>
        </w:rPr>
        <w:t xml:space="preserve"> (no IPEDS GRS equivalent)</w:t>
      </w:r>
      <w:r w:rsidR="00A97101" w:rsidRPr="00C42008">
        <w:rPr>
          <w:szCs w:val="24"/>
        </w:rPr>
        <w:t xml:space="preserve">; then </w:t>
      </w:r>
    </w:p>
    <w:p w:rsidR="003F6030" w:rsidRPr="00C42008" w:rsidRDefault="004C38EC" w:rsidP="00BC6A42">
      <w:pPr>
        <w:pStyle w:val="DefaultText"/>
        <w:numPr>
          <w:ilvl w:val="0"/>
          <w:numId w:val="14"/>
        </w:numPr>
        <w:tabs>
          <w:tab w:val="clear" w:pos="1080"/>
          <w:tab w:val="num" w:pos="360"/>
          <w:tab w:val="num" w:pos="648"/>
        </w:tabs>
        <w:ind w:left="360"/>
        <w:rPr>
          <w:szCs w:val="24"/>
        </w:rPr>
      </w:pPr>
      <w:r w:rsidRPr="00C42008">
        <w:rPr>
          <w:szCs w:val="24"/>
        </w:rPr>
        <w:t xml:space="preserve">For the </w:t>
      </w:r>
      <w:r w:rsidR="00E40B6A" w:rsidRPr="00C42008">
        <w:rPr>
          <w:szCs w:val="24"/>
        </w:rPr>
        <w:t>200</w:t>
      </w:r>
      <w:r w:rsidR="005E4870">
        <w:rPr>
          <w:szCs w:val="24"/>
        </w:rPr>
        <w:t>5</w:t>
      </w:r>
      <w:r w:rsidR="009844C7" w:rsidRPr="00C42008">
        <w:rPr>
          <w:szCs w:val="24"/>
        </w:rPr>
        <w:t xml:space="preserve"> </w:t>
      </w:r>
      <w:r w:rsidRPr="00C42008">
        <w:rPr>
          <w:szCs w:val="24"/>
        </w:rPr>
        <w:t>cohort, n</w:t>
      </w:r>
      <w:r w:rsidR="003F6030" w:rsidRPr="00C42008">
        <w:rPr>
          <w:szCs w:val="24"/>
        </w:rPr>
        <w:t>on-completers still enrolled the fall term following Aug.</w:t>
      </w:r>
      <w:r w:rsidR="00137214" w:rsidRPr="00C42008">
        <w:rPr>
          <w:szCs w:val="24"/>
        </w:rPr>
        <w:t xml:space="preserve"> </w:t>
      </w:r>
      <w:r w:rsidR="003F6030" w:rsidRPr="00C42008">
        <w:rPr>
          <w:szCs w:val="24"/>
        </w:rPr>
        <w:t xml:space="preserve">31, </w:t>
      </w:r>
      <w:r w:rsidR="00E40B6A" w:rsidRPr="00C42008">
        <w:rPr>
          <w:szCs w:val="24"/>
        </w:rPr>
        <w:t>20</w:t>
      </w:r>
      <w:r w:rsidR="002D678A">
        <w:rPr>
          <w:szCs w:val="24"/>
        </w:rPr>
        <w:t>1</w:t>
      </w:r>
      <w:r w:rsidR="005E4870">
        <w:rPr>
          <w:szCs w:val="24"/>
        </w:rPr>
        <w:t>1</w:t>
      </w:r>
      <w:r w:rsidR="009844C7" w:rsidRPr="00C42008">
        <w:rPr>
          <w:szCs w:val="24"/>
        </w:rPr>
        <w:t xml:space="preserve"> </w:t>
      </w:r>
      <w:r w:rsidR="003F6030" w:rsidRPr="00C42008">
        <w:rPr>
          <w:szCs w:val="24"/>
        </w:rPr>
        <w:t>(no GRS equivalent);</w:t>
      </w:r>
      <w:r w:rsidRPr="00C42008">
        <w:rPr>
          <w:szCs w:val="24"/>
        </w:rPr>
        <w:t xml:space="preserve"> and</w:t>
      </w:r>
    </w:p>
    <w:p w:rsidR="006B1834" w:rsidRPr="00C42008" w:rsidRDefault="004C38EC" w:rsidP="00271D2E">
      <w:pPr>
        <w:pStyle w:val="DefaultText"/>
        <w:numPr>
          <w:ilvl w:val="0"/>
          <w:numId w:val="14"/>
        </w:numPr>
        <w:tabs>
          <w:tab w:val="clear" w:pos="1080"/>
          <w:tab w:val="num" w:pos="360"/>
          <w:tab w:val="num" w:pos="648"/>
        </w:tabs>
        <w:spacing w:after="120"/>
        <w:ind w:left="360"/>
        <w:rPr>
          <w:szCs w:val="24"/>
        </w:rPr>
      </w:pPr>
      <w:r w:rsidRPr="00C42008">
        <w:rPr>
          <w:szCs w:val="24"/>
        </w:rPr>
        <w:t xml:space="preserve">For the fall </w:t>
      </w:r>
      <w:r w:rsidR="00E40B6A" w:rsidRPr="00C42008">
        <w:rPr>
          <w:szCs w:val="24"/>
        </w:rPr>
        <w:t>200</w:t>
      </w:r>
      <w:r w:rsidR="005E4870">
        <w:rPr>
          <w:szCs w:val="24"/>
        </w:rPr>
        <w:t>5</w:t>
      </w:r>
      <w:r w:rsidR="009844C7" w:rsidRPr="00C42008">
        <w:rPr>
          <w:szCs w:val="24"/>
        </w:rPr>
        <w:t xml:space="preserve"> </w:t>
      </w:r>
      <w:r w:rsidRPr="00C42008">
        <w:rPr>
          <w:szCs w:val="24"/>
        </w:rPr>
        <w:t>cohort, t</w:t>
      </w:r>
      <w:r w:rsidR="00137214" w:rsidRPr="00C42008">
        <w:rPr>
          <w:szCs w:val="24"/>
        </w:rPr>
        <w:t xml:space="preserve">ransfer </w:t>
      </w:r>
      <w:r w:rsidR="003F6030" w:rsidRPr="00C42008">
        <w:rPr>
          <w:szCs w:val="24"/>
        </w:rPr>
        <w:t>out students (non-completers) within 150% of normal time (</w:t>
      </w:r>
      <w:r w:rsidR="00516430" w:rsidRPr="00C42008">
        <w:rPr>
          <w:szCs w:val="24"/>
        </w:rPr>
        <w:t xml:space="preserve">equivalent to </w:t>
      </w:r>
      <w:r w:rsidR="00FE0BAF" w:rsidRPr="00C42008">
        <w:rPr>
          <w:szCs w:val="24"/>
        </w:rPr>
        <w:t xml:space="preserve">an </w:t>
      </w:r>
      <w:r w:rsidRPr="00C42008">
        <w:rPr>
          <w:szCs w:val="24"/>
        </w:rPr>
        <w:t xml:space="preserve">IPEDS </w:t>
      </w:r>
      <w:r w:rsidR="00A97101" w:rsidRPr="00C42008">
        <w:rPr>
          <w:szCs w:val="24"/>
        </w:rPr>
        <w:t>GRS data element</w:t>
      </w:r>
      <w:r w:rsidR="003F6030" w:rsidRPr="00C42008">
        <w:rPr>
          <w:szCs w:val="24"/>
        </w:rPr>
        <w:t>).</w:t>
      </w:r>
    </w:p>
    <w:p w:rsidR="00FA2095" w:rsidRPr="00C42008" w:rsidRDefault="00FA2095" w:rsidP="006B1834">
      <w:pPr>
        <w:pStyle w:val="DefaultText"/>
        <w:spacing w:after="120"/>
        <w:ind w:firstLine="0"/>
        <w:rPr>
          <w:szCs w:val="24"/>
        </w:rPr>
      </w:pPr>
      <w:r w:rsidRPr="00C42008">
        <w:rPr>
          <w:szCs w:val="24"/>
        </w:rPr>
        <w:t xml:space="preserve">Please describe your method for reporting (documenting) transfers in a cell comment or below the data. </w:t>
      </w:r>
      <w:r w:rsidR="007A16E4" w:rsidRPr="00C42008">
        <w:rPr>
          <w:szCs w:val="24"/>
        </w:rPr>
        <w:t>P</w:t>
      </w:r>
      <w:r w:rsidR="00FE0BAF" w:rsidRPr="00C42008">
        <w:rPr>
          <w:szCs w:val="24"/>
        </w:rPr>
        <w:t>lease fill fields not completed previously</w:t>
      </w:r>
      <w:r w:rsidR="007A16E4" w:rsidRPr="00C42008">
        <w:rPr>
          <w:szCs w:val="24"/>
        </w:rPr>
        <w:t xml:space="preserve"> if data are now available,</w:t>
      </w:r>
      <w:r w:rsidR="0098395F" w:rsidRPr="00C42008">
        <w:rPr>
          <w:szCs w:val="24"/>
        </w:rPr>
        <w:t xml:space="preserve"> and </w:t>
      </w:r>
      <w:r w:rsidR="00F0491C" w:rsidRPr="00C42008">
        <w:rPr>
          <w:szCs w:val="24"/>
        </w:rPr>
        <w:t>highlight</w:t>
      </w:r>
      <w:r w:rsidR="0098395F" w:rsidRPr="00C42008">
        <w:rPr>
          <w:szCs w:val="24"/>
        </w:rPr>
        <w:t xml:space="preserve"> those additions</w:t>
      </w:r>
      <w:r w:rsidR="00F0491C" w:rsidRPr="00C42008">
        <w:rPr>
          <w:szCs w:val="24"/>
        </w:rPr>
        <w:t xml:space="preserve"> with a yellow background</w:t>
      </w:r>
      <w:r w:rsidR="00FE0BAF" w:rsidRPr="00C42008">
        <w:rPr>
          <w:szCs w:val="24"/>
        </w:rPr>
        <w:t>.</w:t>
      </w:r>
    </w:p>
    <w:p w:rsidR="003F6030" w:rsidRPr="00C42008" w:rsidRDefault="003F6030" w:rsidP="00650512">
      <w:pPr>
        <w:pStyle w:val="DefaultText"/>
        <w:spacing w:after="120"/>
        <w:ind w:left="288" w:hanging="288"/>
        <w:rPr>
          <w:b/>
          <w:szCs w:val="24"/>
        </w:rPr>
      </w:pPr>
      <w:r w:rsidRPr="00C42008">
        <w:rPr>
          <w:b/>
          <w:szCs w:val="24"/>
        </w:rPr>
        <w:t>For each public two-year college or postsecondary vocation</w:t>
      </w:r>
      <w:r w:rsidR="00137214" w:rsidRPr="00C42008">
        <w:rPr>
          <w:b/>
          <w:szCs w:val="24"/>
        </w:rPr>
        <w:t>al</w:t>
      </w:r>
      <w:r w:rsidRPr="00C42008">
        <w:rPr>
          <w:b/>
          <w:szCs w:val="24"/>
        </w:rPr>
        <w:t>-te</w:t>
      </w:r>
      <w:r w:rsidR="00AC0539" w:rsidRPr="00C42008">
        <w:rPr>
          <w:b/>
          <w:szCs w:val="24"/>
        </w:rPr>
        <w:t>chnical institute, please enter:</w:t>
      </w:r>
    </w:p>
    <w:p w:rsidR="00CE53A9" w:rsidRPr="00C42008" w:rsidRDefault="004A194A" w:rsidP="004A194A">
      <w:pPr>
        <w:pStyle w:val="DefaultText"/>
        <w:numPr>
          <w:ilvl w:val="0"/>
          <w:numId w:val="14"/>
        </w:numPr>
        <w:tabs>
          <w:tab w:val="clear" w:pos="1080"/>
          <w:tab w:val="num" w:pos="360"/>
        </w:tabs>
        <w:ind w:left="360"/>
        <w:rPr>
          <w:szCs w:val="24"/>
        </w:rPr>
      </w:pPr>
      <w:r w:rsidRPr="00C42008">
        <w:rPr>
          <w:szCs w:val="24"/>
        </w:rPr>
        <w:t>The total entering students at the undergraduate level for fall term 20</w:t>
      </w:r>
      <w:r w:rsidR="005E4870">
        <w:rPr>
          <w:szCs w:val="24"/>
        </w:rPr>
        <w:t>10</w:t>
      </w:r>
      <w:r w:rsidRPr="00C42008">
        <w:rPr>
          <w:szCs w:val="24"/>
        </w:rPr>
        <w:t xml:space="preserve"> (equivalent to IPEDS EF data element UGENTERN). That is, in addition to the students in the GRS cohort (full-time, first-time degree/certificate-seeking), this includes: part -time undergraduate students, non-degree/certificate-seeking undergraduates, students who initially attended the prior summer term and returned again in the fall (other than those included in the GRS cohort) and students transferring into your institution at any undergraduate level for the first time. Only students in credit bearing activity are counted.</w:t>
      </w:r>
    </w:p>
    <w:p w:rsidR="003F6030" w:rsidRPr="00C42008" w:rsidRDefault="003F6030" w:rsidP="00BC6A42">
      <w:pPr>
        <w:pStyle w:val="DefaultText"/>
        <w:numPr>
          <w:ilvl w:val="0"/>
          <w:numId w:val="14"/>
        </w:numPr>
        <w:tabs>
          <w:tab w:val="clear" w:pos="1080"/>
          <w:tab w:val="num" w:pos="360"/>
          <w:tab w:val="num" w:pos="648"/>
        </w:tabs>
        <w:ind w:left="360"/>
        <w:rPr>
          <w:szCs w:val="24"/>
        </w:rPr>
      </w:pPr>
      <w:r w:rsidRPr="00C42008">
        <w:rPr>
          <w:szCs w:val="24"/>
        </w:rPr>
        <w:t>The cohort of all full-time, first-tim</w:t>
      </w:r>
      <w:r w:rsidR="00BC6A42" w:rsidRPr="00C42008">
        <w:rPr>
          <w:szCs w:val="24"/>
        </w:rPr>
        <w:t>e degree or certificate seeking u</w:t>
      </w:r>
      <w:r w:rsidRPr="00C42008">
        <w:rPr>
          <w:szCs w:val="24"/>
        </w:rPr>
        <w:t xml:space="preserve">ndergraduates </w:t>
      </w:r>
      <w:r w:rsidR="00042A75" w:rsidRPr="00C42008">
        <w:rPr>
          <w:szCs w:val="24"/>
        </w:rPr>
        <w:t xml:space="preserve">for fall </w:t>
      </w:r>
      <w:r w:rsidR="00E40B6A" w:rsidRPr="00C42008">
        <w:rPr>
          <w:szCs w:val="24"/>
        </w:rPr>
        <w:t>20</w:t>
      </w:r>
      <w:r w:rsidR="005E4870">
        <w:rPr>
          <w:szCs w:val="24"/>
        </w:rPr>
        <w:t>10</w:t>
      </w:r>
      <w:r w:rsidR="002569D3" w:rsidRPr="00C42008">
        <w:rPr>
          <w:szCs w:val="24"/>
        </w:rPr>
        <w:t xml:space="preserve"> </w:t>
      </w:r>
      <w:r w:rsidRPr="00C42008">
        <w:rPr>
          <w:szCs w:val="24"/>
        </w:rPr>
        <w:t>(</w:t>
      </w:r>
      <w:r w:rsidR="00FE0BAF" w:rsidRPr="00C42008">
        <w:rPr>
          <w:szCs w:val="24"/>
        </w:rPr>
        <w:t xml:space="preserve">equivalent to an </w:t>
      </w:r>
      <w:r w:rsidR="00042A75" w:rsidRPr="00C42008">
        <w:rPr>
          <w:szCs w:val="24"/>
        </w:rPr>
        <w:t>IPEDS GRS data element)</w:t>
      </w:r>
      <w:r w:rsidR="00281EFB" w:rsidRPr="00C42008">
        <w:rPr>
          <w:szCs w:val="24"/>
        </w:rPr>
        <w:t xml:space="preserve"> This is the cohort upon which the two-year </w:t>
      </w:r>
      <w:r w:rsidR="00163840" w:rsidRPr="00C42008">
        <w:rPr>
          <w:szCs w:val="24"/>
        </w:rPr>
        <w:t xml:space="preserve">college </w:t>
      </w:r>
      <w:r w:rsidR="00281EFB" w:rsidRPr="00C42008">
        <w:rPr>
          <w:szCs w:val="24"/>
        </w:rPr>
        <w:t>persistence and progression calculations are based</w:t>
      </w:r>
      <w:r w:rsidRPr="00C42008">
        <w:rPr>
          <w:szCs w:val="24"/>
        </w:rPr>
        <w:t>;</w:t>
      </w:r>
    </w:p>
    <w:p w:rsidR="003F6030" w:rsidRPr="00C42008" w:rsidRDefault="003F6030" w:rsidP="00BC6A42">
      <w:pPr>
        <w:pStyle w:val="DefaultText"/>
        <w:numPr>
          <w:ilvl w:val="0"/>
          <w:numId w:val="14"/>
        </w:numPr>
        <w:tabs>
          <w:tab w:val="clear" w:pos="1080"/>
          <w:tab w:val="num" w:pos="360"/>
          <w:tab w:val="num" w:pos="648"/>
        </w:tabs>
        <w:ind w:left="360"/>
        <w:rPr>
          <w:szCs w:val="24"/>
        </w:rPr>
      </w:pPr>
      <w:r w:rsidRPr="00C42008">
        <w:rPr>
          <w:szCs w:val="24"/>
        </w:rPr>
        <w:t xml:space="preserve">Allowable exclusions from the </w:t>
      </w:r>
      <w:r w:rsidR="00042A75" w:rsidRPr="00C42008">
        <w:rPr>
          <w:szCs w:val="24"/>
        </w:rPr>
        <w:t xml:space="preserve">fall </w:t>
      </w:r>
      <w:r w:rsidR="00E40B6A" w:rsidRPr="00C42008">
        <w:rPr>
          <w:szCs w:val="24"/>
        </w:rPr>
        <w:t>20</w:t>
      </w:r>
      <w:r w:rsidR="005E4870">
        <w:rPr>
          <w:szCs w:val="24"/>
        </w:rPr>
        <w:t>10</w:t>
      </w:r>
      <w:r w:rsidR="00747C39" w:rsidRPr="00C42008">
        <w:rPr>
          <w:szCs w:val="24"/>
        </w:rPr>
        <w:t xml:space="preserve"> </w:t>
      </w:r>
      <w:r w:rsidRPr="00C42008">
        <w:rPr>
          <w:szCs w:val="24"/>
        </w:rPr>
        <w:t>cohort (</w:t>
      </w:r>
      <w:r w:rsidR="00FE0BAF" w:rsidRPr="00C42008">
        <w:rPr>
          <w:szCs w:val="24"/>
        </w:rPr>
        <w:t xml:space="preserve">equivalent to an </w:t>
      </w:r>
      <w:r w:rsidR="00042A75" w:rsidRPr="00C42008">
        <w:rPr>
          <w:szCs w:val="24"/>
        </w:rPr>
        <w:t>IPEDS GRS data element</w:t>
      </w:r>
      <w:r w:rsidRPr="00C42008">
        <w:rPr>
          <w:szCs w:val="24"/>
        </w:rPr>
        <w:t>);</w:t>
      </w:r>
    </w:p>
    <w:p w:rsidR="003F6030" w:rsidRPr="00C42008" w:rsidRDefault="003F6030" w:rsidP="00A00267">
      <w:pPr>
        <w:pStyle w:val="DefaultText"/>
        <w:numPr>
          <w:ilvl w:val="0"/>
          <w:numId w:val="14"/>
        </w:numPr>
        <w:tabs>
          <w:tab w:val="clear" w:pos="1080"/>
          <w:tab w:val="num" w:pos="360"/>
          <w:tab w:val="num" w:pos="648"/>
        </w:tabs>
        <w:ind w:left="360" w:right="-18"/>
        <w:rPr>
          <w:szCs w:val="24"/>
        </w:rPr>
      </w:pPr>
      <w:r w:rsidRPr="00C42008">
        <w:rPr>
          <w:szCs w:val="24"/>
          <w:u w:val="single"/>
        </w:rPr>
        <w:t xml:space="preserve">For </w:t>
      </w:r>
      <w:r w:rsidR="00B05645" w:rsidRPr="00C42008">
        <w:rPr>
          <w:szCs w:val="24"/>
          <w:u w:val="single"/>
        </w:rPr>
        <w:t xml:space="preserve">first year persistence </w:t>
      </w:r>
      <w:r w:rsidRPr="00C42008">
        <w:rPr>
          <w:szCs w:val="24"/>
          <w:u w:val="single"/>
        </w:rPr>
        <w:t>rates</w:t>
      </w:r>
      <w:r w:rsidRPr="00C42008">
        <w:rPr>
          <w:szCs w:val="24"/>
        </w:rPr>
        <w:t xml:space="preserve">: </w:t>
      </w:r>
      <w:r w:rsidR="00042A75" w:rsidRPr="00C42008">
        <w:rPr>
          <w:szCs w:val="24"/>
        </w:rPr>
        <w:t xml:space="preserve">for the fall </w:t>
      </w:r>
      <w:r w:rsidR="002569D3" w:rsidRPr="00C42008">
        <w:rPr>
          <w:szCs w:val="24"/>
        </w:rPr>
        <w:t>20</w:t>
      </w:r>
      <w:r w:rsidR="005E4870">
        <w:rPr>
          <w:szCs w:val="24"/>
        </w:rPr>
        <w:t>10</w:t>
      </w:r>
      <w:r w:rsidR="00FB56E7" w:rsidRPr="00C42008">
        <w:rPr>
          <w:szCs w:val="24"/>
        </w:rPr>
        <w:t xml:space="preserve"> </w:t>
      </w:r>
      <w:r w:rsidR="00042A75" w:rsidRPr="00C42008">
        <w:rPr>
          <w:szCs w:val="24"/>
        </w:rPr>
        <w:t xml:space="preserve">cohort, enter </w:t>
      </w:r>
      <w:r w:rsidRPr="00C42008">
        <w:rPr>
          <w:szCs w:val="24"/>
        </w:rPr>
        <w:t xml:space="preserve">members of the cohort enrolled at the same institution during </w:t>
      </w:r>
      <w:r w:rsidR="003C448D" w:rsidRPr="00C42008">
        <w:rPr>
          <w:szCs w:val="24"/>
        </w:rPr>
        <w:t xml:space="preserve">the subsequent </w:t>
      </w:r>
      <w:r w:rsidRPr="00C42008">
        <w:rPr>
          <w:szCs w:val="24"/>
        </w:rPr>
        <w:t xml:space="preserve">fall </w:t>
      </w:r>
      <w:r w:rsidR="003C448D" w:rsidRPr="00C42008">
        <w:rPr>
          <w:szCs w:val="24"/>
        </w:rPr>
        <w:t>terms,</w:t>
      </w:r>
      <w:r w:rsidR="00FB56E7" w:rsidRPr="00C42008">
        <w:rPr>
          <w:szCs w:val="24"/>
        </w:rPr>
        <w:t xml:space="preserve"> </w:t>
      </w:r>
      <w:r w:rsidRPr="00C42008">
        <w:rPr>
          <w:i/>
          <w:szCs w:val="24"/>
          <w:u w:val="single"/>
        </w:rPr>
        <w:t>including</w:t>
      </w:r>
      <w:r w:rsidRPr="00C42008">
        <w:rPr>
          <w:szCs w:val="24"/>
        </w:rPr>
        <w:t xml:space="preserve"> completers of less than baccalaureate programs who completed by </w:t>
      </w:r>
      <w:r w:rsidR="00FA2095" w:rsidRPr="00C42008">
        <w:rPr>
          <w:szCs w:val="24"/>
        </w:rPr>
        <w:t xml:space="preserve">the end of the </w:t>
      </w:r>
      <w:r w:rsidR="003C448D" w:rsidRPr="00C42008">
        <w:rPr>
          <w:szCs w:val="24"/>
        </w:rPr>
        <w:t xml:space="preserve">subsequent </w:t>
      </w:r>
      <w:r w:rsidR="00FA2095" w:rsidRPr="00C42008">
        <w:rPr>
          <w:szCs w:val="24"/>
        </w:rPr>
        <w:t>fall term</w:t>
      </w:r>
      <w:r w:rsidR="003C448D" w:rsidRPr="00C42008">
        <w:rPr>
          <w:szCs w:val="24"/>
        </w:rPr>
        <w:t>s</w:t>
      </w:r>
      <w:r w:rsidRPr="00C42008">
        <w:rPr>
          <w:szCs w:val="24"/>
        </w:rPr>
        <w:t xml:space="preserve"> (no GRS equivalent); </w:t>
      </w:r>
      <w:r w:rsidR="00042A75" w:rsidRPr="00C42008">
        <w:rPr>
          <w:szCs w:val="24"/>
        </w:rPr>
        <w:t>then</w:t>
      </w:r>
    </w:p>
    <w:p w:rsidR="003F6030" w:rsidRPr="00C42008" w:rsidRDefault="003F6030" w:rsidP="00BC6A42">
      <w:pPr>
        <w:pStyle w:val="DefaultText"/>
        <w:numPr>
          <w:ilvl w:val="0"/>
          <w:numId w:val="14"/>
        </w:numPr>
        <w:tabs>
          <w:tab w:val="clear" w:pos="1080"/>
          <w:tab w:val="num" w:pos="360"/>
          <w:tab w:val="num" w:pos="648"/>
        </w:tabs>
        <w:ind w:left="360"/>
        <w:rPr>
          <w:szCs w:val="24"/>
        </w:rPr>
      </w:pPr>
      <w:r w:rsidRPr="00C42008">
        <w:rPr>
          <w:szCs w:val="24"/>
        </w:rPr>
        <w:lastRenderedPageBreak/>
        <w:t>Other students who transferred</w:t>
      </w:r>
      <w:r w:rsidR="00137214" w:rsidRPr="00C42008">
        <w:rPr>
          <w:szCs w:val="24"/>
        </w:rPr>
        <w:t xml:space="preserve"> </w:t>
      </w:r>
      <w:r w:rsidRPr="00C42008">
        <w:rPr>
          <w:szCs w:val="24"/>
        </w:rPr>
        <w:t>out</w:t>
      </w:r>
      <w:r w:rsidR="00042A75" w:rsidRPr="00C42008">
        <w:rPr>
          <w:szCs w:val="24"/>
        </w:rPr>
        <w:t xml:space="preserve">: for the </w:t>
      </w:r>
      <w:r w:rsidR="002569D3" w:rsidRPr="00C42008">
        <w:rPr>
          <w:szCs w:val="24"/>
        </w:rPr>
        <w:t>20</w:t>
      </w:r>
      <w:r w:rsidR="005E4870">
        <w:rPr>
          <w:szCs w:val="24"/>
        </w:rPr>
        <w:t>10</w:t>
      </w:r>
      <w:r w:rsidR="002569D3" w:rsidRPr="00C42008">
        <w:rPr>
          <w:szCs w:val="24"/>
        </w:rPr>
        <w:t xml:space="preserve"> cohort</w:t>
      </w:r>
      <w:r w:rsidR="00042A75" w:rsidRPr="00C42008">
        <w:rPr>
          <w:szCs w:val="24"/>
        </w:rPr>
        <w:t xml:space="preserve">, </w:t>
      </w:r>
      <w:r w:rsidRPr="00C42008">
        <w:rPr>
          <w:szCs w:val="24"/>
        </w:rPr>
        <w:t xml:space="preserve">by </w:t>
      </w:r>
      <w:r w:rsidR="00FA2095" w:rsidRPr="00C42008">
        <w:rPr>
          <w:szCs w:val="24"/>
        </w:rPr>
        <w:t xml:space="preserve">the end of the </w:t>
      </w:r>
      <w:r w:rsidR="003C448D" w:rsidRPr="00C42008">
        <w:rPr>
          <w:szCs w:val="24"/>
        </w:rPr>
        <w:t xml:space="preserve">subsequent </w:t>
      </w:r>
      <w:r w:rsidR="00FA2095" w:rsidRPr="00C42008">
        <w:rPr>
          <w:szCs w:val="24"/>
        </w:rPr>
        <w:t>fall term</w:t>
      </w:r>
      <w:r w:rsidR="003C448D" w:rsidRPr="00C42008">
        <w:rPr>
          <w:szCs w:val="24"/>
        </w:rPr>
        <w:t>s</w:t>
      </w:r>
      <w:r w:rsidR="00FB56E7" w:rsidRPr="00C42008">
        <w:rPr>
          <w:szCs w:val="24"/>
        </w:rPr>
        <w:t xml:space="preserve">; </w:t>
      </w:r>
      <w:r w:rsidRPr="00C42008">
        <w:rPr>
          <w:szCs w:val="24"/>
        </w:rPr>
        <w:t>(no GRS equivalent); then</w:t>
      </w:r>
      <w:r w:rsidR="00042A75" w:rsidRPr="00C42008">
        <w:rPr>
          <w:szCs w:val="24"/>
        </w:rPr>
        <w:t xml:space="preserve"> </w:t>
      </w:r>
    </w:p>
    <w:p w:rsidR="005E4870" w:rsidRDefault="003F6030" w:rsidP="00BC6A42">
      <w:pPr>
        <w:pStyle w:val="DefaultText"/>
        <w:numPr>
          <w:ilvl w:val="0"/>
          <w:numId w:val="14"/>
        </w:numPr>
        <w:tabs>
          <w:tab w:val="clear" w:pos="1080"/>
          <w:tab w:val="num" w:pos="360"/>
          <w:tab w:val="num" w:pos="648"/>
        </w:tabs>
        <w:ind w:left="360"/>
        <w:rPr>
          <w:szCs w:val="24"/>
        </w:rPr>
      </w:pPr>
      <w:r w:rsidRPr="00C42008">
        <w:rPr>
          <w:szCs w:val="24"/>
          <w:u w:val="single"/>
        </w:rPr>
        <w:t xml:space="preserve">For </w:t>
      </w:r>
      <w:r w:rsidR="00042A75" w:rsidRPr="00C42008">
        <w:rPr>
          <w:szCs w:val="24"/>
          <w:u w:val="single"/>
        </w:rPr>
        <w:t>progression</w:t>
      </w:r>
      <w:r w:rsidRPr="00C42008">
        <w:rPr>
          <w:szCs w:val="24"/>
          <w:u w:val="single"/>
        </w:rPr>
        <w:t xml:space="preserve"> rates</w:t>
      </w:r>
      <w:r w:rsidRPr="00C42008">
        <w:rPr>
          <w:szCs w:val="24"/>
        </w:rPr>
        <w:t xml:space="preserve">: </w:t>
      </w:r>
      <w:r w:rsidR="00042A75" w:rsidRPr="00C42008">
        <w:rPr>
          <w:szCs w:val="24"/>
        </w:rPr>
        <w:t xml:space="preserve">members of the </w:t>
      </w:r>
      <w:r w:rsidR="00E40B6A" w:rsidRPr="00C42008">
        <w:rPr>
          <w:szCs w:val="24"/>
        </w:rPr>
        <w:t>200</w:t>
      </w:r>
      <w:r w:rsidR="005E4870">
        <w:rPr>
          <w:szCs w:val="24"/>
        </w:rPr>
        <w:t>8</w:t>
      </w:r>
      <w:r w:rsidR="002569D3" w:rsidRPr="00C42008">
        <w:rPr>
          <w:szCs w:val="24"/>
        </w:rPr>
        <w:t xml:space="preserve"> </w:t>
      </w:r>
      <w:r w:rsidR="00042A75" w:rsidRPr="00C42008">
        <w:rPr>
          <w:szCs w:val="24"/>
        </w:rPr>
        <w:t>cohort who c</w:t>
      </w:r>
      <w:r w:rsidRPr="00C42008">
        <w:rPr>
          <w:szCs w:val="24"/>
        </w:rPr>
        <w:t>omplete</w:t>
      </w:r>
      <w:r w:rsidR="00042A75" w:rsidRPr="00C42008">
        <w:rPr>
          <w:szCs w:val="24"/>
        </w:rPr>
        <w:t>d</w:t>
      </w:r>
      <w:r w:rsidRPr="00C42008">
        <w:rPr>
          <w:szCs w:val="24"/>
        </w:rPr>
        <w:t xml:space="preserve"> </w:t>
      </w:r>
      <w:r w:rsidR="00042A75" w:rsidRPr="00C42008">
        <w:rPr>
          <w:szCs w:val="24"/>
        </w:rPr>
        <w:t xml:space="preserve">a </w:t>
      </w:r>
      <w:r w:rsidRPr="00C42008">
        <w:rPr>
          <w:szCs w:val="24"/>
        </w:rPr>
        <w:t xml:space="preserve">less than baccalaureate program </w:t>
      </w:r>
      <w:r w:rsidR="00042A75" w:rsidRPr="00C42008">
        <w:rPr>
          <w:szCs w:val="24"/>
        </w:rPr>
        <w:t>w</w:t>
      </w:r>
      <w:r w:rsidRPr="00C42008">
        <w:rPr>
          <w:szCs w:val="24"/>
        </w:rPr>
        <w:t xml:space="preserve">ithin 150% of normal time </w:t>
      </w:r>
      <w:r w:rsidR="00FA2095" w:rsidRPr="00C42008">
        <w:rPr>
          <w:szCs w:val="24"/>
        </w:rPr>
        <w:t xml:space="preserve">(3 years) </w:t>
      </w:r>
      <w:r w:rsidRPr="00C42008">
        <w:rPr>
          <w:szCs w:val="24"/>
        </w:rPr>
        <w:t>(</w:t>
      </w:r>
      <w:r w:rsidR="00FE0BAF" w:rsidRPr="00C42008">
        <w:rPr>
          <w:szCs w:val="24"/>
        </w:rPr>
        <w:t xml:space="preserve">equivalent to an </w:t>
      </w:r>
      <w:r w:rsidR="00042A75" w:rsidRPr="00C42008">
        <w:rPr>
          <w:szCs w:val="24"/>
        </w:rPr>
        <w:t>IPEDS GRS data element</w:t>
      </w:r>
      <w:r w:rsidRPr="00C42008">
        <w:rPr>
          <w:szCs w:val="24"/>
        </w:rPr>
        <w:t>);</w:t>
      </w:r>
      <w:r w:rsidR="00042A75" w:rsidRPr="00C42008">
        <w:rPr>
          <w:szCs w:val="24"/>
        </w:rPr>
        <w:t xml:space="preserve"> </w:t>
      </w:r>
      <w:r w:rsidR="00A005E2" w:rsidRPr="00C42008">
        <w:rPr>
          <w:szCs w:val="24"/>
        </w:rPr>
        <w:t xml:space="preserve">then, for members of the </w:t>
      </w:r>
      <w:r w:rsidR="00E40B6A" w:rsidRPr="00C42008">
        <w:rPr>
          <w:szCs w:val="24"/>
        </w:rPr>
        <w:t>200</w:t>
      </w:r>
      <w:r w:rsidR="005E4870">
        <w:rPr>
          <w:szCs w:val="24"/>
        </w:rPr>
        <w:t>5</w:t>
      </w:r>
      <w:r w:rsidR="002569D3" w:rsidRPr="00C42008">
        <w:rPr>
          <w:szCs w:val="24"/>
        </w:rPr>
        <w:t xml:space="preserve"> </w:t>
      </w:r>
      <w:r w:rsidR="00A005E2" w:rsidRPr="00C42008">
        <w:rPr>
          <w:szCs w:val="24"/>
        </w:rPr>
        <w:t>cohort, those earning a degree or certificate who completed their program by Aug. 31, 20</w:t>
      </w:r>
      <w:r w:rsidR="002D678A">
        <w:rPr>
          <w:szCs w:val="24"/>
        </w:rPr>
        <w:t>1</w:t>
      </w:r>
      <w:r w:rsidR="005E4870">
        <w:rPr>
          <w:szCs w:val="24"/>
        </w:rPr>
        <w:t>1</w:t>
      </w:r>
      <w:r w:rsidR="00A005E2" w:rsidRPr="00C42008">
        <w:rPr>
          <w:szCs w:val="24"/>
        </w:rPr>
        <w:t xml:space="preserve"> or</w:t>
      </w:r>
    </w:p>
    <w:p w:rsidR="00A005E2" w:rsidRPr="00C42008" w:rsidRDefault="00A005E2" w:rsidP="005E4870">
      <w:pPr>
        <w:pStyle w:val="DefaultText"/>
        <w:tabs>
          <w:tab w:val="num" w:pos="1080"/>
        </w:tabs>
        <w:ind w:left="360" w:firstLine="0"/>
        <w:rPr>
          <w:szCs w:val="24"/>
        </w:rPr>
      </w:pPr>
      <w:r w:rsidRPr="00C42008">
        <w:rPr>
          <w:szCs w:val="24"/>
        </w:rPr>
        <w:t>(</w:t>
      </w:r>
      <w:r w:rsidR="00FA2095" w:rsidRPr="00C42008">
        <w:rPr>
          <w:szCs w:val="24"/>
        </w:rPr>
        <w:t>6</w:t>
      </w:r>
      <w:r w:rsidRPr="00C42008">
        <w:rPr>
          <w:szCs w:val="24"/>
        </w:rPr>
        <w:t xml:space="preserve"> years) (</w:t>
      </w:r>
      <w:proofErr w:type="gramStart"/>
      <w:r w:rsidRPr="00C42008">
        <w:rPr>
          <w:szCs w:val="24"/>
        </w:rPr>
        <w:t>no</w:t>
      </w:r>
      <w:proofErr w:type="gramEnd"/>
      <w:r w:rsidRPr="00C42008">
        <w:rPr>
          <w:szCs w:val="24"/>
        </w:rPr>
        <w:t xml:space="preserve"> IPEDS GRS equivalent); then</w:t>
      </w:r>
      <w:r w:rsidR="00FE0BAF" w:rsidRPr="00C42008">
        <w:rPr>
          <w:szCs w:val="24"/>
        </w:rPr>
        <w:t xml:space="preserve"> for the </w:t>
      </w:r>
      <w:r w:rsidR="00E40B6A" w:rsidRPr="00C42008">
        <w:rPr>
          <w:szCs w:val="24"/>
        </w:rPr>
        <w:t>200</w:t>
      </w:r>
      <w:r w:rsidR="005E4870">
        <w:rPr>
          <w:szCs w:val="24"/>
        </w:rPr>
        <w:t>8</w:t>
      </w:r>
      <w:r w:rsidR="002569D3" w:rsidRPr="00C42008">
        <w:rPr>
          <w:szCs w:val="24"/>
        </w:rPr>
        <w:t xml:space="preserve"> </w:t>
      </w:r>
      <w:r w:rsidR="00FE0BAF" w:rsidRPr="00C42008">
        <w:rPr>
          <w:szCs w:val="24"/>
        </w:rPr>
        <w:t>cohort</w:t>
      </w:r>
    </w:p>
    <w:p w:rsidR="003F6030" w:rsidRPr="00C42008" w:rsidRDefault="003F6030" w:rsidP="00296BA6">
      <w:pPr>
        <w:pStyle w:val="DefaultText"/>
        <w:numPr>
          <w:ilvl w:val="0"/>
          <w:numId w:val="14"/>
        </w:numPr>
        <w:tabs>
          <w:tab w:val="clear" w:pos="1080"/>
          <w:tab w:val="num" w:pos="360"/>
          <w:tab w:val="num" w:pos="648"/>
        </w:tabs>
        <w:ind w:left="360" w:right="-180"/>
        <w:rPr>
          <w:szCs w:val="24"/>
        </w:rPr>
      </w:pPr>
      <w:r w:rsidRPr="00C42008">
        <w:rPr>
          <w:szCs w:val="24"/>
        </w:rPr>
        <w:t>Non-completers still enrolled the fall term following Aug. 31, 20</w:t>
      </w:r>
      <w:r w:rsidR="002D678A">
        <w:rPr>
          <w:szCs w:val="24"/>
        </w:rPr>
        <w:t>1</w:t>
      </w:r>
      <w:r w:rsidR="005E4870">
        <w:rPr>
          <w:szCs w:val="24"/>
        </w:rPr>
        <w:t>1</w:t>
      </w:r>
      <w:r w:rsidRPr="00C42008">
        <w:rPr>
          <w:szCs w:val="24"/>
        </w:rPr>
        <w:t xml:space="preserve"> and completers of </w:t>
      </w:r>
      <w:r w:rsidR="00813090" w:rsidRPr="00C42008">
        <w:rPr>
          <w:szCs w:val="24"/>
        </w:rPr>
        <w:t xml:space="preserve">shorter-term programs who did not complete within 150% of normal time but who did complete by Aug. 31, </w:t>
      </w:r>
      <w:r w:rsidR="00E40B6A" w:rsidRPr="00C42008">
        <w:rPr>
          <w:szCs w:val="24"/>
        </w:rPr>
        <w:t>20</w:t>
      </w:r>
      <w:r w:rsidR="002D678A">
        <w:rPr>
          <w:szCs w:val="24"/>
        </w:rPr>
        <w:t>1</w:t>
      </w:r>
      <w:r w:rsidR="005E4870">
        <w:rPr>
          <w:szCs w:val="24"/>
        </w:rPr>
        <w:t>1</w:t>
      </w:r>
      <w:r w:rsidR="002569D3" w:rsidRPr="00C42008">
        <w:rPr>
          <w:szCs w:val="24"/>
        </w:rPr>
        <w:t xml:space="preserve"> </w:t>
      </w:r>
      <w:r w:rsidRPr="00C42008">
        <w:rPr>
          <w:szCs w:val="24"/>
        </w:rPr>
        <w:t>(no GRS equivalent);</w:t>
      </w:r>
      <w:r w:rsidR="00042A75" w:rsidRPr="00C42008">
        <w:rPr>
          <w:szCs w:val="24"/>
        </w:rPr>
        <w:t xml:space="preserve"> </w:t>
      </w:r>
      <w:r w:rsidR="00FE0BAF" w:rsidRPr="00C42008">
        <w:rPr>
          <w:szCs w:val="24"/>
        </w:rPr>
        <w:t>and</w:t>
      </w:r>
    </w:p>
    <w:p w:rsidR="003F6030" w:rsidRPr="00C42008" w:rsidRDefault="00042A75" w:rsidP="00BC6A42">
      <w:pPr>
        <w:pStyle w:val="DefaultText"/>
        <w:numPr>
          <w:ilvl w:val="0"/>
          <w:numId w:val="14"/>
        </w:numPr>
        <w:tabs>
          <w:tab w:val="clear" w:pos="1080"/>
          <w:tab w:val="num" w:pos="360"/>
          <w:tab w:val="num" w:pos="648"/>
        </w:tabs>
        <w:ind w:left="360"/>
        <w:rPr>
          <w:szCs w:val="24"/>
        </w:rPr>
      </w:pPr>
      <w:r w:rsidRPr="00C42008">
        <w:rPr>
          <w:szCs w:val="24"/>
        </w:rPr>
        <w:t>T</w:t>
      </w:r>
      <w:r w:rsidR="00137214" w:rsidRPr="00C42008">
        <w:rPr>
          <w:szCs w:val="24"/>
        </w:rPr>
        <w:t xml:space="preserve">ransfer </w:t>
      </w:r>
      <w:r w:rsidR="003F6030" w:rsidRPr="00C42008">
        <w:rPr>
          <w:szCs w:val="24"/>
        </w:rPr>
        <w:t>out students (non-completers) within 150% of normal time (</w:t>
      </w:r>
      <w:r w:rsidRPr="00C42008">
        <w:rPr>
          <w:szCs w:val="24"/>
        </w:rPr>
        <w:t>IPEDS GRS data element</w:t>
      </w:r>
      <w:r w:rsidR="003F6030" w:rsidRPr="00C42008">
        <w:rPr>
          <w:szCs w:val="24"/>
        </w:rPr>
        <w:t>).</w:t>
      </w:r>
    </w:p>
    <w:p w:rsidR="007C6D4B" w:rsidRPr="00C42008" w:rsidRDefault="00FA2095" w:rsidP="00A00267">
      <w:pPr>
        <w:pStyle w:val="DefaultText"/>
        <w:spacing w:before="60" w:after="60"/>
        <w:ind w:firstLine="360"/>
        <w:rPr>
          <w:szCs w:val="24"/>
        </w:rPr>
      </w:pPr>
      <w:r w:rsidRPr="00C42008">
        <w:rPr>
          <w:szCs w:val="24"/>
        </w:rPr>
        <w:t xml:space="preserve">Please describe your method for reporting (documenting) transfers in a cell comment or below the data. </w:t>
      </w:r>
      <w:r w:rsidR="007A16E4" w:rsidRPr="00C42008">
        <w:rPr>
          <w:szCs w:val="24"/>
        </w:rPr>
        <w:t>P</w:t>
      </w:r>
      <w:r w:rsidR="0098395F" w:rsidRPr="00C42008">
        <w:rPr>
          <w:szCs w:val="24"/>
        </w:rPr>
        <w:t>lease fill fields not completed previously</w:t>
      </w:r>
      <w:r w:rsidR="007A16E4" w:rsidRPr="00C42008">
        <w:rPr>
          <w:szCs w:val="24"/>
        </w:rPr>
        <w:t xml:space="preserve"> if data are now available,</w:t>
      </w:r>
      <w:r w:rsidR="0098395F" w:rsidRPr="00C42008">
        <w:rPr>
          <w:szCs w:val="24"/>
        </w:rPr>
        <w:t xml:space="preserve"> and </w:t>
      </w:r>
      <w:r w:rsidR="00641E3C" w:rsidRPr="00C42008">
        <w:rPr>
          <w:szCs w:val="24"/>
        </w:rPr>
        <w:t>highlight</w:t>
      </w:r>
      <w:r w:rsidR="0098395F" w:rsidRPr="00C42008">
        <w:rPr>
          <w:szCs w:val="24"/>
        </w:rPr>
        <w:t xml:space="preserve"> those additions</w:t>
      </w:r>
      <w:r w:rsidR="00641E3C" w:rsidRPr="00C42008">
        <w:rPr>
          <w:szCs w:val="24"/>
        </w:rPr>
        <w:t xml:space="preserve"> with a yellow background</w:t>
      </w:r>
      <w:r w:rsidR="0098395F" w:rsidRPr="00C42008">
        <w:rPr>
          <w:szCs w:val="24"/>
        </w:rPr>
        <w:t>.</w:t>
      </w:r>
    </w:p>
    <w:p w:rsidR="003F6030" w:rsidRPr="002D678A" w:rsidRDefault="003F6030" w:rsidP="00A00267">
      <w:pPr>
        <w:pStyle w:val="DefaultText"/>
        <w:spacing w:before="60" w:after="60"/>
        <w:ind w:firstLine="360"/>
        <w:rPr>
          <w:szCs w:val="24"/>
          <w:u w:val="single"/>
        </w:rPr>
      </w:pPr>
      <w:r w:rsidRPr="002D678A">
        <w:rPr>
          <w:szCs w:val="24"/>
          <w:u w:val="single"/>
        </w:rPr>
        <w:t xml:space="preserve">Each student is to be counted in only one </w:t>
      </w:r>
      <w:r w:rsidR="00B05645" w:rsidRPr="002D678A">
        <w:rPr>
          <w:szCs w:val="24"/>
          <w:u w:val="single"/>
        </w:rPr>
        <w:t xml:space="preserve">persistence </w:t>
      </w:r>
      <w:r w:rsidRPr="002D678A">
        <w:rPr>
          <w:szCs w:val="24"/>
          <w:u w:val="single"/>
        </w:rPr>
        <w:t xml:space="preserve">category and in only one </w:t>
      </w:r>
      <w:r w:rsidR="00B05645" w:rsidRPr="002D678A">
        <w:rPr>
          <w:szCs w:val="24"/>
          <w:u w:val="single"/>
        </w:rPr>
        <w:t xml:space="preserve">progression </w:t>
      </w:r>
      <w:r w:rsidRPr="002D678A">
        <w:rPr>
          <w:szCs w:val="24"/>
          <w:u w:val="single"/>
        </w:rPr>
        <w:t xml:space="preserve">rate category. </w:t>
      </w:r>
      <w:r w:rsidR="007C6D4B" w:rsidRPr="002D678A">
        <w:rPr>
          <w:szCs w:val="24"/>
          <w:u w:val="single"/>
        </w:rPr>
        <w:t xml:space="preserve">For the </w:t>
      </w:r>
      <w:r w:rsidR="00E40B6A" w:rsidRPr="002D678A">
        <w:rPr>
          <w:szCs w:val="24"/>
          <w:u w:val="single"/>
        </w:rPr>
        <w:t>200</w:t>
      </w:r>
      <w:r w:rsidR="005E4870">
        <w:rPr>
          <w:szCs w:val="24"/>
          <w:u w:val="single"/>
        </w:rPr>
        <w:t>8</w:t>
      </w:r>
      <w:r w:rsidR="002569D3" w:rsidRPr="002D678A">
        <w:rPr>
          <w:szCs w:val="24"/>
          <w:u w:val="single"/>
        </w:rPr>
        <w:t xml:space="preserve"> </w:t>
      </w:r>
      <w:r w:rsidR="007C6D4B" w:rsidRPr="002D678A">
        <w:rPr>
          <w:szCs w:val="24"/>
          <w:u w:val="single"/>
        </w:rPr>
        <w:t>cohort, c</w:t>
      </w:r>
      <w:r w:rsidRPr="002D678A">
        <w:rPr>
          <w:szCs w:val="24"/>
          <w:u w:val="single"/>
        </w:rPr>
        <w:t xml:space="preserve">ompleters of less than </w:t>
      </w:r>
      <w:r w:rsidR="00E40B6A" w:rsidRPr="002D678A">
        <w:rPr>
          <w:szCs w:val="24"/>
          <w:u w:val="single"/>
        </w:rPr>
        <w:t>two</w:t>
      </w:r>
      <w:r w:rsidRPr="002D678A">
        <w:rPr>
          <w:szCs w:val="24"/>
          <w:u w:val="single"/>
        </w:rPr>
        <w:t xml:space="preserve">-year programs who did not complete within 150% of normal time but did complete by Aug. 31, </w:t>
      </w:r>
      <w:r w:rsidR="00E40B6A" w:rsidRPr="002D678A">
        <w:rPr>
          <w:szCs w:val="24"/>
          <w:u w:val="single"/>
        </w:rPr>
        <w:t>20</w:t>
      </w:r>
      <w:r w:rsidR="002D678A" w:rsidRPr="002D678A">
        <w:rPr>
          <w:szCs w:val="24"/>
          <w:u w:val="single"/>
        </w:rPr>
        <w:t>1</w:t>
      </w:r>
      <w:r w:rsidR="005E4870">
        <w:rPr>
          <w:szCs w:val="24"/>
          <w:u w:val="single"/>
        </w:rPr>
        <w:t>1</w:t>
      </w:r>
      <w:r w:rsidR="002569D3" w:rsidRPr="002D678A">
        <w:rPr>
          <w:szCs w:val="24"/>
          <w:u w:val="single"/>
        </w:rPr>
        <w:t xml:space="preserve"> </w:t>
      </w:r>
      <w:r w:rsidRPr="002D678A">
        <w:rPr>
          <w:szCs w:val="24"/>
          <w:u w:val="single"/>
        </w:rPr>
        <w:t>should be included in the still enrolled counts</w:t>
      </w:r>
      <w:r w:rsidRPr="002D678A">
        <w:rPr>
          <w:szCs w:val="24"/>
        </w:rPr>
        <w:t>.</w:t>
      </w:r>
    </w:p>
    <w:p w:rsidR="003F6030" w:rsidRPr="00C42008" w:rsidRDefault="003F6030" w:rsidP="00A00267">
      <w:pPr>
        <w:pStyle w:val="DefaultText"/>
        <w:spacing w:before="60" w:after="60"/>
        <w:ind w:firstLine="270"/>
        <w:rPr>
          <w:szCs w:val="24"/>
        </w:rPr>
      </w:pPr>
      <w:r w:rsidRPr="00C42008">
        <w:rPr>
          <w:szCs w:val="24"/>
        </w:rPr>
        <w:t>These data will be used to calculate</w:t>
      </w:r>
      <w:r w:rsidR="00A005E2" w:rsidRPr="00C42008">
        <w:rPr>
          <w:szCs w:val="24"/>
        </w:rPr>
        <w:t xml:space="preserve"> </w:t>
      </w:r>
      <w:r w:rsidR="00B05645" w:rsidRPr="00C42008">
        <w:rPr>
          <w:szCs w:val="24"/>
        </w:rPr>
        <w:t xml:space="preserve">first year student persistence and </w:t>
      </w:r>
      <w:r w:rsidR="00A005E2" w:rsidRPr="00C42008">
        <w:rPr>
          <w:szCs w:val="24"/>
        </w:rPr>
        <w:t xml:space="preserve">progression rates. For four-year colleges and universities, the progression rate is the sum of the </w:t>
      </w:r>
      <w:r w:rsidRPr="00C42008">
        <w:rPr>
          <w:szCs w:val="24"/>
        </w:rPr>
        <w:t xml:space="preserve">baccalaureate seekers </w:t>
      </w:r>
      <w:r w:rsidR="00231D35" w:rsidRPr="00C42008">
        <w:rPr>
          <w:szCs w:val="24"/>
        </w:rPr>
        <w:t xml:space="preserve">who completed the baccalaureate, those </w:t>
      </w:r>
      <w:r w:rsidR="00A005E2" w:rsidRPr="00C42008">
        <w:rPr>
          <w:szCs w:val="24"/>
        </w:rPr>
        <w:t xml:space="preserve">still enrolled </w:t>
      </w:r>
      <w:r w:rsidR="00231D35" w:rsidRPr="00C42008">
        <w:rPr>
          <w:szCs w:val="24"/>
        </w:rPr>
        <w:t xml:space="preserve">and those who </w:t>
      </w:r>
      <w:r w:rsidR="00A005E2" w:rsidRPr="00C42008">
        <w:rPr>
          <w:szCs w:val="24"/>
        </w:rPr>
        <w:t>transferred within 150 percent of normal program time</w:t>
      </w:r>
      <w:r w:rsidR="00231D35" w:rsidRPr="00C42008">
        <w:rPr>
          <w:szCs w:val="24"/>
        </w:rPr>
        <w:t>, divided by the adjusted cohort</w:t>
      </w:r>
      <w:r w:rsidR="00A005E2" w:rsidRPr="00C42008">
        <w:rPr>
          <w:szCs w:val="24"/>
        </w:rPr>
        <w:t xml:space="preserve">. For two-year colleges and technical institutions it is the sum of the </w:t>
      </w:r>
      <w:r w:rsidRPr="00C42008">
        <w:rPr>
          <w:szCs w:val="24"/>
        </w:rPr>
        <w:t>students who complete degrees or certificates below the bachelor’s level</w:t>
      </w:r>
      <w:r w:rsidR="00231D35" w:rsidRPr="00C42008">
        <w:rPr>
          <w:szCs w:val="24"/>
        </w:rPr>
        <w:t>, those</w:t>
      </w:r>
      <w:r w:rsidR="00A005E2" w:rsidRPr="00C42008">
        <w:rPr>
          <w:szCs w:val="24"/>
        </w:rPr>
        <w:t xml:space="preserve"> still enrolled and th</w:t>
      </w:r>
      <w:r w:rsidR="00231D35" w:rsidRPr="00C42008">
        <w:rPr>
          <w:szCs w:val="24"/>
        </w:rPr>
        <w:t xml:space="preserve">ose who </w:t>
      </w:r>
      <w:r w:rsidR="00A005E2" w:rsidRPr="00C42008">
        <w:rPr>
          <w:szCs w:val="24"/>
        </w:rPr>
        <w:t>transferred within 150 percent of normal program time</w:t>
      </w:r>
      <w:r w:rsidR="00231D35" w:rsidRPr="00C42008">
        <w:rPr>
          <w:szCs w:val="24"/>
        </w:rPr>
        <w:t>, divided by the adjusted cohort</w:t>
      </w:r>
      <w:r w:rsidRPr="00C42008">
        <w:rPr>
          <w:szCs w:val="24"/>
        </w:rPr>
        <w:t xml:space="preserve">. </w:t>
      </w:r>
      <w:r w:rsidR="00A005E2" w:rsidRPr="00C42008">
        <w:rPr>
          <w:szCs w:val="24"/>
        </w:rPr>
        <w:t>A 10-year ra</w:t>
      </w:r>
      <w:r w:rsidR="004E5567" w:rsidRPr="00C42008">
        <w:rPr>
          <w:szCs w:val="24"/>
        </w:rPr>
        <w:t>te for four-year schools and a 6</w:t>
      </w:r>
      <w:r w:rsidR="00A005E2" w:rsidRPr="00C42008">
        <w:rPr>
          <w:szCs w:val="24"/>
        </w:rPr>
        <w:t>-y</w:t>
      </w:r>
      <w:r w:rsidR="00296BA6" w:rsidRPr="00C42008">
        <w:rPr>
          <w:szCs w:val="24"/>
        </w:rPr>
        <w:t>ear rate for two-year schools are</w:t>
      </w:r>
      <w:r w:rsidR="00A005E2" w:rsidRPr="00C42008">
        <w:rPr>
          <w:szCs w:val="24"/>
        </w:rPr>
        <w:t xml:space="preserve"> also reported.</w:t>
      </w:r>
    </w:p>
    <w:p w:rsidR="00F55A3B" w:rsidRDefault="003F6030" w:rsidP="00A00267">
      <w:pPr>
        <w:pStyle w:val="DefaultText"/>
        <w:spacing w:before="60" w:after="60"/>
        <w:ind w:firstLine="270"/>
        <w:rPr>
          <w:szCs w:val="24"/>
        </w:rPr>
      </w:pPr>
      <w:r w:rsidRPr="00C42008">
        <w:rPr>
          <w:szCs w:val="24"/>
        </w:rPr>
        <w:t xml:space="preserve">These data will be used to calculate first year </w:t>
      </w:r>
      <w:r w:rsidR="009A1F8E" w:rsidRPr="00C42008">
        <w:rPr>
          <w:szCs w:val="24"/>
        </w:rPr>
        <w:t>persistence</w:t>
      </w:r>
      <w:r w:rsidRPr="00C42008">
        <w:rPr>
          <w:szCs w:val="24"/>
        </w:rPr>
        <w:t xml:space="preserve"> rates for full-time, first-time baccalaureate seekers at four-year colleges and universities and to calculate first year </w:t>
      </w:r>
      <w:r w:rsidR="009A1F8E" w:rsidRPr="00C42008">
        <w:rPr>
          <w:szCs w:val="24"/>
        </w:rPr>
        <w:t>persistence</w:t>
      </w:r>
      <w:r w:rsidRPr="00C42008">
        <w:rPr>
          <w:szCs w:val="24"/>
        </w:rPr>
        <w:t xml:space="preserve"> rates for full-time, first-time degree or certificate seekers at two-year colleges or technical institutes.</w:t>
      </w:r>
      <w:r w:rsidR="00A005E2" w:rsidRPr="00C42008">
        <w:rPr>
          <w:szCs w:val="24"/>
        </w:rPr>
        <w:t xml:space="preserve"> The </w:t>
      </w:r>
      <w:r w:rsidR="009A1F8E" w:rsidRPr="00C42008">
        <w:rPr>
          <w:szCs w:val="24"/>
        </w:rPr>
        <w:t>persistence</w:t>
      </w:r>
      <w:r w:rsidR="00A005E2" w:rsidRPr="00C42008">
        <w:rPr>
          <w:szCs w:val="24"/>
        </w:rPr>
        <w:t xml:space="preserve"> rates are the sum of </w:t>
      </w:r>
      <w:r w:rsidR="00AE2C9A" w:rsidRPr="00C42008">
        <w:rPr>
          <w:szCs w:val="24"/>
        </w:rPr>
        <w:t xml:space="preserve">students </w:t>
      </w:r>
      <w:r w:rsidR="00A005E2" w:rsidRPr="00C42008">
        <w:rPr>
          <w:szCs w:val="24"/>
        </w:rPr>
        <w:t xml:space="preserve">still enrolled </w:t>
      </w:r>
      <w:r w:rsidR="00231D35" w:rsidRPr="00C42008">
        <w:rPr>
          <w:szCs w:val="24"/>
        </w:rPr>
        <w:t xml:space="preserve">and those </w:t>
      </w:r>
      <w:r w:rsidR="00EB37C7" w:rsidRPr="00C42008">
        <w:rPr>
          <w:szCs w:val="24"/>
        </w:rPr>
        <w:t xml:space="preserve">who </w:t>
      </w:r>
      <w:r w:rsidR="00A005E2" w:rsidRPr="00C42008">
        <w:rPr>
          <w:szCs w:val="24"/>
        </w:rPr>
        <w:t xml:space="preserve">transferred by the end of </w:t>
      </w:r>
      <w:r w:rsidR="00FA2095" w:rsidRPr="00C42008">
        <w:rPr>
          <w:szCs w:val="24"/>
        </w:rPr>
        <w:t>the fall term immediately subsequent to the fall of the students’ first enrollment</w:t>
      </w:r>
      <w:r w:rsidR="008C5D7C" w:rsidRPr="00C42008">
        <w:rPr>
          <w:szCs w:val="24"/>
        </w:rPr>
        <w:t>,</w:t>
      </w:r>
      <w:r w:rsidR="00231D35" w:rsidRPr="00C42008">
        <w:rPr>
          <w:szCs w:val="24"/>
        </w:rPr>
        <w:t xml:space="preserve"> divided by the adjusted cohort</w:t>
      </w:r>
      <w:r w:rsidR="00A005E2" w:rsidRPr="00C42008">
        <w:rPr>
          <w:szCs w:val="24"/>
        </w:rPr>
        <w:t>.</w:t>
      </w:r>
    </w:p>
    <w:p w:rsidR="006B7CFB" w:rsidRDefault="006B7CFB" w:rsidP="006B7CFB">
      <w:pPr>
        <w:rPr>
          <w:szCs w:val="24"/>
        </w:rPr>
      </w:pPr>
    </w:p>
    <w:p w:rsidR="006B7CFB" w:rsidRDefault="006B7CFB" w:rsidP="006B7CFB">
      <w:pPr>
        <w:rPr>
          <w:szCs w:val="24"/>
        </w:rPr>
      </w:pPr>
    </w:p>
    <w:p w:rsidR="00FB47DD" w:rsidRPr="006B7CFB" w:rsidRDefault="006B7CFB" w:rsidP="006B7CFB">
      <w:pPr>
        <w:pStyle w:val="DefaultText"/>
        <w:ind w:firstLine="0"/>
        <w:jc w:val="center"/>
        <w:rPr>
          <w:b/>
          <w:bCs/>
          <w:szCs w:val="24"/>
        </w:rPr>
      </w:pPr>
      <w:r w:rsidRPr="006B7CFB">
        <w:rPr>
          <w:b/>
          <w:bCs/>
          <w:szCs w:val="24"/>
        </w:rPr>
        <w:t>P</w:t>
      </w:r>
      <w:r w:rsidR="00FB47DD" w:rsidRPr="006B7CFB">
        <w:rPr>
          <w:b/>
          <w:bCs/>
          <w:szCs w:val="24"/>
        </w:rPr>
        <w:t>art</w:t>
      </w:r>
      <w:r w:rsidRPr="006B7CFB">
        <w:rPr>
          <w:b/>
          <w:bCs/>
          <w:szCs w:val="24"/>
        </w:rPr>
        <w:t xml:space="preserve"> </w:t>
      </w:r>
      <w:r w:rsidR="00FB47DD" w:rsidRPr="006B7CFB">
        <w:rPr>
          <w:b/>
          <w:bCs/>
          <w:szCs w:val="24"/>
        </w:rPr>
        <w:t>3</w:t>
      </w:r>
    </w:p>
    <w:p w:rsidR="00FB47DD" w:rsidRDefault="00FB47DD" w:rsidP="006B7CFB">
      <w:pPr>
        <w:pStyle w:val="DefaultText"/>
        <w:ind w:firstLine="0"/>
        <w:jc w:val="center"/>
        <w:rPr>
          <w:b/>
          <w:bCs/>
          <w:szCs w:val="24"/>
        </w:rPr>
      </w:pPr>
      <w:r w:rsidRPr="006B7CFB">
        <w:rPr>
          <w:b/>
          <w:bCs/>
          <w:szCs w:val="24"/>
        </w:rPr>
        <w:t>Time</w:t>
      </w:r>
      <w:r w:rsidR="005E4870" w:rsidRPr="006B7CFB">
        <w:rPr>
          <w:b/>
          <w:bCs/>
          <w:szCs w:val="24"/>
        </w:rPr>
        <w:t>-</w:t>
      </w:r>
      <w:r w:rsidRPr="006B7CFB">
        <w:rPr>
          <w:b/>
          <w:bCs/>
          <w:szCs w:val="24"/>
        </w:rPr>
        <w:t>to</w:t>
      </w:r>
      <w:r w:rsidR="005E4870" w:rsidRPr="006B7CFB">
        <w:rPr>
          <w:b/>
          <w:bCs/>
          <w:szCs w:val="24"/>
        </w:rPr>
        <w:t>-</w:t>
      </w:r>
      <w:r w:rsidR="0095224A" w:rsidRPr="006B7CFB">
        <w:rPr>
          <w:b/>
          <w:bCs/>
          <w:szCs w:val="24"/>
        </w:rPr>
        <w:t>Degree</w:t>
      </w:r>
      <w:r w:rsidRPr="006B7CFB">
        <w:rPr>
          <w:b/>
          <w:bCs/>
          <w:szCs w:val="24"/>
        </w:rPr>
        <w:t xml:space="preserve"> and Attempted</w:t>
      </w:r>
      <w:r w:rsidR="005E4870" w:rsidRPr="006B7CFB">
        <w:rPr>
          <w:b/>
          <w:bCs/>
          <w:szCs w:val="24"/>
        </w:rPr>
        <w:t xml:space="preserve"> Credits-to-</w:t>
      </w:r>
      <w:r w:rsidR="0095224A" w:rsidRPr="006B7CFB">
        <w:rPr>
          <w:b/>
          <w:bCs/>
          <w:szCs w:val="24"/>
        </w:rPr>
        <w:t>Degree</w:t>
      </w:r>
    </w:p>
    <w:p w:rsidR="006B7CFB" w:rsidRPr="006B7CFB" w:rsidRDefault="006B7CFB" w:rsidP="006B7CFB">
      <w:pPr>
        <w:pStyle w:val="DefaultText"/>
        <w:ind w:firstLine="0"/>
        <w:jc w:val="center"/>
        <w:rPr>
          <w:b/>
          <w:bCs/>
          <w:szCs w:val="24"/>
        </w:rPr>
      </w:pPr>
    </w:p>
    <w:p w:rsidR="00FB47DD" w:rsidRPr="00C42008" w:rsidRDefault="00FB47DD" w:rsidP="00FB47DD">
      <w:pPr>
        <w:pStyle w:val="DefaultText"/>
        <w:spacing w:before="60" w:after="60"/>
        <w:ind w:firstLine="270"/>
        <w:rPr>
          <w:szCs w:val="24"/>
        </w:rPr>
      </w:pPr>
      <w:r w:rsidRPr="00C42008">
        <w:rPr>
          <w:rStyle w:val="grey9ptr"/>
          <w:szCs w:val="24"/>
        </w:rPr>
        <w:t xml:space="preserve">  </w:t>
      </w:r>
      <w:r w:rsidRPr="00C42008">
        <w:rPr>
          <w:rStyle w:val="grey9ptr"/>
          <w:szCs w:val="24"/>
        </w:rPr>
        <w:tab/>
      </w:r>
      <w:r w:rsidRPr="00C42008">
        <w:rPr>
          <w:szCs w:val="24"/>
        </w:rPr>
        <w:t xml:space="preserve">Persistence, completion and progression rates </w:t>
      </w:r>
      <w:r w:rsidR="00E2266A" w:rsidRPr="002D678A">
        <w:rPr>
          <w:szCs w:val="24"/>
        </w:rPr>
        <w:t>from Part 2</w:t>
      </w:r>
      <w:r w:rsidR="00E2266A" w:rsidRPr="00C42008">
        <w:rPr>
          <w:szCs w:val="24"/>
        </w:rPr>
        <w:t xml:space="preserve"> </w:t>
      </w:r>
      <w:r w:rsidRPr="00C42008">
        <w:rPr>
          <w:szCs w:val="24"/>
        </w:rPr>
        <w:t>only look at a sub-set of postsecondary education students -- first-time, full-time degree or certificate seeking undergraduates. Time</w:t>
      </w:r>
      <w:r w:rsidR="005E4870">
        <w:rPr>
          <w:szCs w:val="24"/>
        </w:rPr>
        <w:t>-</w:t>
      </w:r>
      <w:r w:rsidRPr="00C42008">
        <w:rPr>
          <w:szCs w:val="24"/>
        </w:rPr>
        <w:t>to</w:t>
      </w:r>
      <w:r w:rsidR="005E4870">
        <w:rPr>
          <w:szCs w:val="24"/>
        </w:rPr>
        <w:t>-</w:t>
      </w:r>
      <w:r w:rsidR="00C42008">
        <w:rPr>
          <w:szCs w:val="24"/>
        </w:rPr>
        <w:t>degree</w:t>
      </w:r>
      <w:r w:rsidR="002D678A">
        <w:rPr>
          <w:szCs w:val="24"/>
        </w:rPr>
        <w:t xml:space="preserve"> </w:t>
      </w:r>
      <w:r w:rsidRPr="00C42008">
        <w:rPr>
          <w:szCs w:val="24"/>
        </w:rPr>
        <w:t>/</w:t>
      </w:r>
      <w:r w:rsidR="002D678A">
        <w:rPr>
          <w:szCs w:val="24"/>
        </w:rPr>
        <w:t xml:space="preserve"> attempted</w:t>
      </w:r>
      <w:r w:rsidR="005E4870">
        <w:rPr>
          <w:szCs w:val="24"/>
        </w:rPr>
        <w:t xml:space="preserve"> </w:t>
      </w:r>
      <w:r w:rsidRPr="00C42008">
        <w:rPr>
          <w:szCs w:val="24"/>
        </w:rPr>
        <w:t>credits</w:t>
      </w:r>
      <w:r w:rsidR="005E4870">
        <w:rPr>
          <w:szCs w:val="24"/>
        </w:rPr>
        <w:t>-</w:t>
      </w:r>
      <w:r w:rsidRPr="00C42008">
        <w:rPr>
          <w:szCs w:val="24"/>
        </w:rPr>
        <w:t>to</w:t>
      </w:r>
      <w:r w:rsidR="005E4870">
        <w:rPr>
          <w:szCs w:val="24"/>
        </w:rPr>
        <w:t>-</w:t>
      </w:r>
      <w:r w:rsidR="00C42008">
        <w:rPr>
          <w:szCs w:val="24"/>
        </w:rPr>
        <w:t>degree</w:t>
      </w:r>
      <w:r w:rsidRPr="00C42008">
        <w:rPr>
          <w:szCs w:val="24"/>
        </w:rPr>
        <w:t xml:space="preserve"> data </w:t>
      </w:r>
      <w:r w:rsidR="005E4870" w:rsidRPr="00C42008">
        <w:rPr>
          <w:szCs w:val="24"/>
        </w:rPr>
        <w:t>look</w:t>
      </w:r>
      <w:r w:rsidRPr="00C42008">
        <w:rPr>
          <w:szCs w:val="24"/>
        </w:rPr>
        <w:t xml:space="preserve"> at all of a year's graduates and provides a way of getting a more comprehensive picture</w:t>
      </w:r>
      <w:r w:rsidR="00667768" w:rsidRPr="00C42008">
        <w:rPr>
          <w:szCs w:val="24"/>
        </w:rPr>
        <w:t xml:space="preserve"> of completions data</w:t>
      </w:r>
      <w:r w:rsidRPr="00C42008">
        <w:rPr>
          <w:szCs w:val="24"/>
        </w:rPr>
        <w:t>.</w:t>
      </w:r>
    </w:p>
    <w:p w:rsidR="00FB47DD" w:rsidRPr="00C42008" w:rsidRDefault="00FB47DD" w:rsidP="00FB47DD">
      <w:pPr>
        <w:pStyle w:val="DefaultText"/>
        <w:spacing w:before="60" w:after="60"/>
        <w:ind w:firstLine="270"/>
        <w:rPr>
          <w:rStyle w:val="grey9ptr"/>
          <w:b/>
          <w:szCs w:val="24"/>
        </w:rPr>
      </w:pPr>
      <w:r w:rsidRPr="00C42008">
        <w:rPr>
          <w:rStyle w:val="grey9ptr"/>
          <w:szCs w:val="24"/>
        </w:rPr>
        <w:t xml:space="preserve"> </w:t>
      </w:r>
      <w:r w:rsidRPr="00C42008">
        <w:rPr>
          <w:rStyle w:val="grey9ptr"/>
          <w:szCs w:val="24"/>
        </w:rPr>
        <w:tab/>
      </w:r>
      <w:r w:rsidRPr="00C42008">
        <w:rPr>
          <w:b/>
          <w:szCs w:val="24"/>
          <w:u w:val="single"/>
        </w:rPr>
        <w:t>For SREB Four-Year 1-6 colleges and universities</w:t>
      </w:r>
      <w:r w:rsidRPr="00C42008">
        <w:rPr>
          <w:b/>
          <w:szCs w:val="24"/>
        </w:rPr>
        <w:t xml:space="preserve">, only report data for bachelor's degree recipients. </w:t>
      </w:r>
      <w:r w:rsidRPr="00C42008">
        <w:rPr>
          <w:b/>
          <w:szCs w:val="24"/>
          <w:u w:val="single"/>
        </w:rPr>
        <w:t xml:space="preserve">For SREB Two-Year </w:t>
      </w:r>
      <w:r w:rsidR="00C42008">
        <w:rPr>
          <w:b/>
          <w:szCs w:val="24"/>
          <w:u w:val="single"/>
        </w:rPr>
        <w:t xml:space="preserve">Colleges with Bachelor’s and in </w:t>
      </w:r>
      <w:r w:rsidR="002125D7">
        <w:rPr>
          <w:b/>
          <w:szCs w:val="24"/>
          <w:u w:val="single"/>
        </w:rPr>
        <w:t>Two-Year</w:t>
      </w:r>
      <w:r w:rsidR="00C42008">
        <w:rPr>
          <w:b/>
          <w:szCs w:val="24"/>
          <w:u w:val="single"/>
        </w:rPr>
        <w:t xml:space="preserve"> </w:t>
      </w:r>
      <w:r w:rsidRPr="00C42008">
        <w:rPr>
          <w:b/>
          <w:szCs w:val="24"/>
          <w:u w:val="single"/>
        </w:rPr>
        <w:t>1-3 colleges</w:t>
      </w:r>
      <w:r w:rsidRPr="00C42008">
        <w:rPr>
          <w:b/>
          <w:szCs w:val="24"/>
        </w:rPr>
        <w:t xml:space="preserve">, only report data for associate's degree recipients. </w:t>
      </w:r>
      <w:r w:rsidRPr="00C42008">
        <w:rPr>
          <w:b/>
          <w:szCs w:val="24"/>
          <w:u w:val="single"/>
        </w:rPr>
        <w:t>SREB Technical Institutes or Colleges 1-3</w:t>
      </w:r>
      <w:r w:rsidR="00E2266A" w:rsidRPr="00C42008">
        <w:rPr>
          <w:b/>
          <w:szCs w:val="24"/>
        </w:rPr>
        <w:t xml:space="preserve"> may skip this section b</w:t>
      </w:r>
      <w:r w:rsidR="004E167D" w:rsidRPr="00C42008">
        <w:rPr>
          <w:b/>
          <w:szCs w:val="24"/>
        </w:rPr>
        <w:t>ecause of the fluid nature of the shorter term programs</w:t>
      </w:r>
      <w:r w:rsidR="00913F89" w:rsidRPr="00C42008">
        <w:rPr>
          <w:b/>
          <w:szCs w:val="24"/>
        </w:rPr>
        <w:t>;</w:t>
      </w:r>
      <w:r w:rsidR="004E167D" w:rsidRPr="00C42008">
        <w:rPr>
          <w:b/>
          <w:szCs w:val="24"/>
        </w:rPr>
        <w:t xml:space="preserve"> special time to award guidelines </w:t>
      </w:r>
      <w:r w:rsidR="00913F89" w:rsidRPr="00C42008">
        <w:rPr>
          <w:b/>
          <w:szCs w:val="24"/>
        </w:rPr>
        <w:t xml:space="preserve">for technical colleges and institutes </w:t>
      </w:r>
      <w:r w:rsidR="00C42008">
        <w:rPr>
          <w:b/>
          <w:szCs w:val="24"/>
        </w:rPr>
        <w:t xml:space="preserve">may </w:t>
      </w:r>
      <w:r w:rsidR="004E167D" w:rsidRPr="00C42008">
        <w:rPr>
          <w:b/>
          <w:szCs w:val="24"/>
        </w:rPr>
        <w:t>be developed</w:t>
      </w:r>
      <w:r w:rsidR="00C42008">
        <w:rPr>
          <w:b/>
          <w:szCs w:val="24"/>
        </w:rPr>
        <w:t xml:space="preserve"> in the future.</w:t>
      </w:r>
    </w:p>
    <w:p w:rsidR="006654CC" w:rsidRPr="00C42008" w:rsidRDefault="00FB47DD" w:rsidP="00FB47DD">
      <w:pPr>
        <w:pStyle w:val="DefaultText"/>
        <w:spacing w:before="60" w:after="60"/>
        <w:ind w:firstLine="270"/>
        <w:rPr>
          <w:szCs w:val="24"/>
        </w:rPr>
      </w:pPr>
      <w:r w:rsidRPr="00C42008">
        <w:rPr>
          <w:rStyle w:val="grey9ptr"/>
          <w:b/>
          <w:szCs w:val="24"/>
        </w:rPr>
        <w:tab/>
      </w:r>
      <w:r w:rsidRPr="00C42008">
        <w:rPr>
          <w:szCs w:val="24"/>
          <w:u w:val="single"/>
        </w:rPr>
        <w:t xml:space="preserve">Time to </w:t>
      </w:r>
      <w:r w:rsidR="00C42008">
        <w:rPr>
          <w:szCs w:val="24"/>
          <w:u w:val="single"/>
        </w:rPr>
        <w:t>Degree:</w:t>
      </w:r>
      <w:r w:rsidRPr="00C42008">
        <w:rPr>
          <w:szCs w:val="24"/>
        </w:rPr>
        <w:t xml:space="preserve"> For 20</w:t>
      </w:r>
      <w:r w:rsidR="005E4870">
        <w:rPr>
          <w:szCs w:val="24"/>
        </w:rPr>
        <w:t>10</w:t>
      </w:r>
      <w:r w:rsidRPr="00C42008">
        <w:rPr>
          <w:szCs w:val="24"/>
        </w:rPr>
        <w:t>-</w:t>
      </w:r>
      <w:r w:rsidR="007B76A0">
        <w:rPr>
          <w:szCs w:val="24"/>
        </w:rPr>
        <w:t>1</w:t>
      </w:r>
      <w:r w:rsidR="005E4870">
        <w:rPr>
          <w:szCs w:val="24"/>
        </w:rPr>
        <w:t>1</w:t>
      </w:r>
      <w:r w:rsidRPr="00C42008">
        <w:rPr>
          <w:szCs w:val="24"/>
        </w:rPr>
        <w:t xml:space="preserve"> completers, determine the term of their first enrollment at the awarding institution. </w:t>
      </w:r>
      <w:r w:rsidR="00695A43" w:rsidRPr="00C42008">
        <w:rPr>
          <w:szCs w:val="24"/>
        </w:rPr>
        <w:t>Identify s</w:t>
      </w:r>
      <w:r w:rsidR="004E167D" w:rsidRPr="00C42008">
        <w:rPr>
          <w:szCs w:val="24"/>
        </w:rPr>
        <w:t xml:space="preserve">econd or additional awards at the same level this year and </w:t>
      </w:r>
      <w:r w:rsidR="00C42008">
        <w:rPr>
          <w:szCs w:val="24"/>
        </w:rPr>
        <w:t xml:space="preserve">an </w:t>
      </w:r>
      <w:r w:rsidR="004E167D" w:rsidRPr="00C42008">
        <w:rPr>
          <w:szCs w:val="24"/>
        </w:rPr>
        <w:t>unduplicated count of graduates</w:t>
      </w:r>
      <w:r w:rsidR="00C42008">
        <w:rPr>
          <w:szCs w:val="24"/>
        </w:rPr>
        <w:t xml:space="preserve"> is derived</w:t>
      </w:r>
      <w:r w:rsidR="004E167D" w:rsidRPr="00C42008">
        <w:rPr>
          <w:szCs w:val="24"/>
        </w:rPr>
        <w:t xml:space="preserve">. </w:t>
      </w:r>
      <w:r w:rsidR="00695A43" w:rsidRPr="00C42008">
        <w:rPr>
          <w:szCs w:val="24"/>
        </w:rPr>
        <w:t>Use c</w:t>
      </w:r>
      <w:r w:rsidRPr="00C42008">
        <w:rPr>
          <w:szCs w:val="24"/>
        </w:rPr>
        <w:t>ensus</w:t>
      </w:r>
      <w:r w:rsidR="00EB37C7" w:rsidRPr="00C42008">
        <w:rPr>
          <w:szCs w:val="24"/>
        </w:rPr>
        <w:t>-</w:t>
      </w:r>
      <w:r w:rsidRPr="00C42008">
        <w:rPr>
          <w:szCs w:val="24"/>
        </w:rPr>
        <w:t xml:space="preserve">date files to determine enrollment. Once a student is identified as a </w:t>
      </w:r>
      <w:r w:rsidR="008D3776">
        <w:rPr>
          <w:szCs w:val="24"/>
        </w:rPr>
        <w:t>graduate</w:t>
      </w:r>
      <w:r w:rsidR="00695A43" w:rsidRPr="00C42008">
        <w:rPr>
          <w:szCs w:val="24"/>
        </w:rPr>
        <w:t>,</w:t>
      </w:r>
      <w:r w:rsidRPr="00C42008">
        <w:rPr>
          <w:szCs w:val="24"/>
        </w:rPr>
        <w:t xml:space="preserve"> </w:t>
      </w:r>
      <w:r w:rsidRPr="00C42008">
        <w:rPr>
          <w:szCs w:val="24"/>
        </w:rPr>
        <w:lastRenderedPageBreak/>
        <w:t xml:space="preserve">their completion date </w:t>
      </w:r>
      <w:r w:rsidR="00BC5DA8" w:rsidRPr="00C42008">
        <w:rPr>
          <w:szCs w:val="24"/>
        </w:rPr>
        <w:t xml:space="preserve">(term) </w:t>
      </w:r>
      <w:r w:rsidRPr="00C42008">
        <w:rPr>
          <w:szCs w:val="24"/>
        </w:rPr>
        <w:t xml:space="preserve">can be captured and compared to the census date </w:t>
      </w:r>
      <w:r w:rsidR="00BC5DA8" w:rsidRPr="00C42008">
        <w:rPr>
          <w:szCs w:val="24"/>
        </w:rPr>
        <w:t xml:space="preserve">(term) </w:t>
      </w:r>
      <w:r w:rsidRPr="00C42008">
        <w:rPr>
          <w:szCs w:val="24"/>
        </w:rPr>
        <w:t xml:space="preserve">of their first enrollment at the awarding institution. </w:t>
      </w:r>
    </w:p>
    <w:p w:rsidR="006146F1" w:rsidRPr="00C42008" w:rsidRDefault="00BC5DA8" w:rsidP="00FB47DD">
      <w:pPr>
        <w:pStyle w:val="DefaultText"/>
        <w:spacing w:before="60" w:after="60"/>
        <w:ind w:firstLine="270"/>
        <w:rPr>
          <w:szCs w:val="24"/>
        </w:rPr>
      </w:pPr>
      <w:r w:rsidRPr="00C42008">
        <w:rPr>
          <w:szCs w:val="24"/>
        </w:rPr>
        <w:t>Graduates' time to award is counted using IPEDS academic year thinking: i.e. a summer session and fall through spring terms count as an academic year. For 20</w:t>
      </w:r>
      <w:r w:rsidR="005E4870">
        <w:rPr>
          <w:szCs w:val="24"/>
        </w:rPr>
        <w:t>10</w:t>
      </w:r>
      <w:r w:rsidRPr="00C42008">
        <w:rPr>
          <w:szCs w:val="24"/>
        </w:rPr>
        <w:t>-</w:t>
      </w:r>
      <w:r w:rsidR="007B76A0">
        <w:rPr>
          <w:szCs w:val="24"/>
        </w:rPr>
        <w:t>1</w:t>
      </w:r>
      <w:r w:rsidR="005E4870">
        <w:rPr>
          <w:szCs w:val="24"/>
        </w:rPr>
        <w:t>1</w:t>
      </w:r>
      <w:r w:rsidRPr="00C42008">
        <w:rPr>
          <w:szCs w:val="24"/>
        </w:rPr>
        <w:t xml:space="preserve"> completers, count students who enrolled first at the awarding institution </w:t>
      </w:r>
      <w:r w:rsidR="002125D7">
        <w:rPr>
          <w:szCs w:val="24"/>
        </w:rPr>
        <w:t>in</w:t>
      </w:r>
    </w:p>
    <w:p w:rsidR="006146F1" w:rsidRPr="00C42008" w:rsidRDefault="00BC5DA8" w:rsidP="006146F1">
      <w:pPr>
        <w:pStyle w:val="DefaultText"/>
        <w:numPr>
          <w:ilvl w:val="0"/>
          <w:numId w:val="20"/>
        </w:numPr>
        <w:rPr>
          <w:szCs w:val="24"/>
        </w:rPr>
      </w:pPr>
      <w:r w:rsidRPr="00C42008">
        <w:rPr>
          <w:szCs w:val="24"/>
        </w:rPr>
        <w:t>winter/spring term of 20</w:t>
      </w:r>
      <w:r w:rsidR="005E4870">
        <w:rPr>
          <w:szCs w:val="24"/>
        </w:rPr>
        <w:t>10</w:t>
      </w:r>
      <w:r w:rsidRPr="00C42008">
        <w:rPr>
          <w:szCs w:val="24"/>
        </w:rPr>
        <w:t>-</w:t>
      </w:r>
      <w:r w:rsidR="007B76A0">
        <w:rPr>
          <w:szCs w:val="24"/>
        </w:rPr>
        <w:t>1</w:t>
      </w:r>
      <w:r w:rsidR="005E4870">
        <w:rPr>
          <w:szCs w:val="24"/>
        </w:rPr>
        <w:t>1</w:t>
      </w:r>
      <w:r w:rsidRPr="00C42008">
        <w:rPr>
          <w:szCs w:val="24"/>
        </w:rPr>
        <w:t xml:space="preserve"> as .5 year</w:t>
      </w:r>
    </w:p>
    <w:p w:rsidR="00B6676D" w:rsidRPr="00C42008" w:rsidRDefault="00C63CBE" w:rsidP="00B6676D">
      <w:pPr>
        <w:pStyle w:val="DefaultText"/>
        <w:numPr>
          <w:ilvl w:val="0"/>
          <w:numId w:val="20"/>
        </w:numPr>
        <w:rPr>
          <w:szCs w:val="24"/>
        </w:rPr>
      </w:pPr>
      <w:r w:rsidRPr="00C42008">
        <w:rPr>
          <w:szCs w:val="24"/>
        </w:rPr>
        <w:t xml:space="preserve">summer or fall terms </w:t>
      </w:r>
      <w:r w:rsidR="00B6676D" w:rsidRPr="00C42008">
        <w:rPr>
          <w:szCs w:val="24"/>
        </w:rPr>
        <w:t>of 20</w:t>
      </w:r>
      <w:r w:rsidR="005E4870">
        <w:rPr>
          <w:szCs w:val="24"/>
        </w:rPr>
        <w:t>10</w:t>
      </w:r>
      <w:r w:rsidR="00B6676D" w:rsidRPr="00C42008">
        <w:rPr>
          <w:szCs w:val="24"/>
        </w:rPr>
        <w:t>-</w:t>
      </w:r>
      <w:r w:rsidR="00B6676D">
        <w:rPr>
          <w:szCs w:val="24"/>
        </w:rPr>
        <w:t>1</w:t>
      </w:r>
      <w:r w:rsidR="005E4870">
        <w:rPr>
          <w:szCs w:val="24"/>
        </w:rPr>
        <w:t>1</w:t>
      </w:r>
      <w:r w:rsidR="00B6676D" w:rsidRPr="00C42008">
        <w:rPr>
          <w:szCs w:val="24"/>
        </w:rPr>
        <w:t xml:space="preserve"> as </w:t>
      </w:r>
      <w:r>
        <w:rPr>
          <w:szCs w:val="24"/>
        </w:rPr>
        <w:t xml:space="preserve"> 1</w:t>
      </w:r>
      <w:r w:rsidR="00B6676D" w:rsidRPr="00C42008">
        <w:rPr>
          <w:szCs w:val="24"/>
        </w:rPr>
        <w:t xml:space="preserve"> year</w:t>
      </w:r>
    </w:p>
    <w:p w:rsidR="006146F1" w:rsidRPr="00C42008" w:rsidRDefault="00BC5DA8" w:rsidP="006146F1">
      <w:pPr>
        <w:pStyle w:val="DefaultText"/>
        <w:numPr>
          <w:ilvl w:val="0"/>
          <w:numId w:val="20"/>
        </w:numPr>
        <w:rPr>
          <w:szCs w:val="24"/>
        </w:rPr>
      </w:pPr>
      <w:r w:rsidRPr="00C42008">
        <w:rPr>
          <w:szCs w:val="24"/>
        </w:rPr>
        <w:t>winter/spring term of 200</w:t>
      </w:r>
      <w:r w:rsidR="005E4870">
        <w:rPr>
          <w:szCs w:val="24"/>
        </w:rPr>
        <w:t>9</w:t>
      </w:r>
      <w:r w:rsidRPr="00C42008">
        <w:rPr>
          <w:szCs w:val="24"/>
        </w:rPr>
        <w:t>-</w:t>
      </w:r>
      <w:r w:rsidR="005E4870">
        <w:rPr>
          <w:szCs w:val="24"/>
        </w:rPr>
        <w:t>10</w:t>
      </w:r>
      <w:r w:rsidRPr="00C42008">
        <w:rPr>
          <w:szCs w:val="24"/>
        </w:rPr>
        <w:t xml:space="preserve"> as 1.5 years </w:t>
      </w:r>
    </w:p>
    <w:p w:rsidR="006146F1" w:rsidRPr="00C42008" w:rsidRDefault="006146F1" w:rsidP="006146F1">
      <w:pPr>
        <w:pStyle w:val="DefaultText"/>
        <w:numPr>
          <w:ilvl w:val="0"/>
          <w:numId w:val="20"/>
        </w:numPr>
        <w:rPr>
          <w:szCs w:val="24"/>
        </w:rPr>
      </w:pPr>
      <w:r w:rsidRPr="00C42008">
        <w:rPr>
          <w:szCs w:val="24"/>
        </w:rPr>
        <w:t xml:space="preserve">summer or </w:t>
      </w:r>
      <w:r w:rsidR="00BC5DA8" w:rsidRPr="00C42008">
        <w:rPr>
          <w:szCs w:val="24"/>
        </w:rPr>
        <w:t>fall terms of 200</w:t>
      </w:r>
      <w:r w:rsidR="005E4870">
        <w:rPr>
          <w:szCs w:val="24"/>
        </w:rPr>
        <w:t>9</w:t>
      </w:r>
      <w:r w:rsidR="00BC5DA8" w:rsidRPr="00C42008">
        <w:rPr>
          <w:szCs w:val="24"/>
        </w:rPr>
        <w:t>-</w:t>
      </w:r>
      <w:r w:rsidR="005E4870">
        <w:rPr>
          <w:szCs w:val="24"/>
        </w:rPr>
        <w:t>10</w:t>
      </w:r>
      <w:r w:rsidR="00BC5DA8" w:rsidRPr="00C42008">
        <w:rPr>
          <w:szCs w:val="24"/>
        </w:rPr>
        <w:t xml:space="preserve"> as 2 years</w:t>
      </w:r>
    </w:p>
    <w:p w:rsidR="006146F1" w:rsidRPr="00C42008" w:rsidRDefault="00BC5DA8" w:rsidP="006146F1">
      <w:pPr>
        <w:pStyle w:val="DefaultText"/>
        <w:numPr>
          <w:ilvl w:val="0"/>
          <w:numId w:val="20"/>
        </w:numPr>
        <w:rPr>
          <w:szCs w:val="24"/>
        </w:rPr>
      </w:pPr>
      <w:r w:rsidRPr="00C42008">
        <w:rPr>
          <w:szCs w:val="24"/>
        </w:rPr>
        <w:t>winter/spring term of 200</w:t>
      </w:r>
      <w:r w:rsidR="005E4870">
        <w:rPr>
          <w:szCs w:val="24"/>
        </w:rPr>
        <w:t>8</w:t>
      </w:r>
      <w:r w:rsidRPr="00C42008">
        <w:rPr>
          <w:szCs w:val="24"/>
        </w:rPr>
        <w:t>-0</w:t>
      </w:r>
      <w:r w:rsidR="005E4870">
        <w:rPr>
          <w:szCs w:val="24"/>
        </w:rPr>
        <w:t>9</w:t>
      </w:r>
      <w:r w:rsidRPr="00C42008">
        <w:rPr>
          <w:szCs w:val="24"/>
        </w:rPr>
        <w:t xml:space="preserve"> as 2.5 years</w:t>
      </w:r>
    </w:p>
    <w:p w:rsidR="006146F1" w:rsidRPr="00C42008" w:rsidRDefault="00BC5DA8" w:rsidP="006146F1">
      <w:pPr>
        <w:pStyle w:val="DefaultText"/>
        <w:numPr>
          <w:ilvl w:val="0"/>
          <w:numId w:val="20"/>
        </w:numPr>
        <w:rPr>
          <w:szCs w:val="24"/>
        </w:rPr>
      </w:pPr>
      <w:r w:rsidRPr="00C42008">
        <w:rPr>
          <w:szCs w:val="24"/>
        </w:rPr>
        <w:t>summer or fall terms of 200</w:t>
      </w:r>
      <w:r w:rsidR="005E4870">
        <w:rPr>
          <w:szCs w:val="24"/>
        </w:rPr>
        <w:t>8</w:t>
      </w:r>
      <w:r w:rsidRPr="00C42008">
        <w:rPr>
          <w:szCs w:val="24"/>
        </w:rPr>
        <w:t>-0</w:t>
      </w:r>
      <w:r w:rsidR="005E4870">
        <w:rPr>
          <w:szCs w:val="24"/>
        </w:rPr>
        <w:t>9</w:t>
      </w:r>
      <w:r w:rsidRPr="00C42008">
        <w:rPr>
          <w:szCs w:val="24"/>
        </w:rPr>
        <w:t xml:space="preserve"> as 3 years</w:t>
      </w:r>
    </w:p>
    <w:p w:rsidR="006146F1" w:rsidRPr="00C42008" w:rsidRDefault="00BC5DA8" w:rsidP="006146F1">
      <w:pPr>
        <w:pStyle w:val="DefaultText"/>
        <w:numPr>
          <w:ilvl w:val="0"/>
          <w:numId w:val="20"/>
        </w:numPr>
        <w:rPr>
          <w:szCs w:val="24"/>
        </w:rPr>
      </w:pPr>
      <w:r w:rsidRPr="00C42008">
        <w:rPr>
          <w:szCs w:val="24"/>
        </w:rPr>
        <w:t>winter/spring term of 200</w:t>
      </w:r>
      <w:r w:rsidR="005E4870">
        <w:rPr>
          <w:szCs w:val="24"/>
        </w:rPr>
        <w:t>7</w:t>
      </w:r>
      <w:r w:rsidRPr="00C42008">
        <w:rPr>
          <w:szCs w:val="24"/>
        </w:rPr>
        <w:t>-0</w:t>
      </w:r>
      <w:r w:rsidR="005E4870">
        <w:rPr>
          <w:szCs w:val="24"/>
        </w:rPr>
        <w:t>8</w:t>
      </w:r>
      <w:r w:rsidRPr="00C42008">
        <w:rPr>
          <w:szCs w:val="24"/>
        </w:rPr>
        <w:t xml:space="preserve"> as 3.5 years</w:t>
      </w:r>
    </w:p>
    <w:p w:rsidR="006146F1" w:rsidRPr="00C42008" w:rsidRDefault="00BC5DA8" w:rsidP="006146F1">
      <w:pPr>
        <w:pStyle w:val="DefaultText"/>
        <w:numPr>
          <w:ilvl w:val="0"/>
          <w:numId w:val="20"/>
        </w:numPr>
        <w:rPr>
          <w:szCs w:val="24"/>
        </w:rPr>
      </w:pPr>
      <w:r w:rsidRPr="00C42008">
        <w:rPr>
          <w:szCs w:val="24"/>
        </w:rPr>
        <w:t>summer or fall terms of 200</w:t>
      </w:r>
      <w:r w:rsidR="005E4870">
        <w:rPr>
          <w:szCs w:val="24"/>
        </w:rPr>
        <w:t>7</w:t>
      </w:r>
      <w:r w:rsidRPr="00C42008">
        <w:rPr>
          <w:szCs w:val="24"/>
        </w:rPr>
        <w:t>-0</w:t>
      </w:r>
      <w:r w:rsidR="005E4870">
        <w:rPr>
          <w:szCs w:val="24"/>
        </w:rPr>
        <w:t>8</w:t>
      </w:r>
      <w:r w:rsidRPr="00C42008">
        <w:rPr>
          <w:szCs w:val="24"/>
        </w:rPr>
        <w:t xml:space="preserve"> as 4 years</w:t>
      </w:r>
    </w:p>
    <w:p w:rsidR="006146F1" w:rsidRPr="00C42008" w:rsidRDefault="00BC5DA8" w:rsidP="006146F1">
      <w:pPr>
        <w:pStyle w:val="DefaultText"/>
        <w:numPr>
          <w:ilvl w:val="0"/>
          <w:numId w:val="20"/>
        </w:numPr>
        <w:rPr>
          <w:szCs w:val="24"/>
        </w:rPr>
      </w:pPr>
      <w:r w:rsidRPr="00C42008">
        <w:rPr>
          <w:szCs w:val="24"/>
        </w:rPr>
        <w:t>winter/spring term of 200</w:t>
      </w:r>
      <w:r w:rsidR="005E4870">
        <w:rPr>
          <w:szCs w:val="24"/>
        </w:rPr>
        <w:t>6</w:t>
      </w:r>
      <w:r w:rsidRPr="00C42008">
        <w:rPr>
          <w:szCs w:val="24"/>
        </w:rPr>
        <w:t>-0</w:t>
      </w:r>
      <w:r w:rsidR="005E4870">
        <w:rPr>
          <w:szCs w:val="24"/>
        </w:rPr>
        <w:t>7</w:t>
      </w:r>
      <w:r w:rsidRPr="00C42008">
        <w:rPr>
          <w:szCs w:val="24"/>
        </w:rPr>
        <w:t xml:space="preserve"> as 4.5 years</w:t>
      </w:r>
    </w:p>
    <w:p w:rsidR="006146F1" w:rsidRPr="00C42008" w:rsidRDefault="00BC5DA8" w:rsidP="006146F1">
      <w:pPr>
        <w:pStyle w:val="DefaultText"/>
        <w:numPr>
          <w:ilvl w:val="0"/>
          <w:numId w:val="20"/>
        </w:numPr>
        <w:rPr>
          <w:szCs w:val="24"/>
        </w:rPr>
      </w:pPr>
      <w:r w:rsidRPr="00C42008">
        <w:rPr>
          <w:szCs w:val="24"/>
        </w:rPr>
        <w:t>summer or fall terms of 200</w:t>
      </w:r>
      <w:r w:rsidR="005E4870">
        <w:rPr>
          <w:szCs w:val="24"/>
        </w:rPr>
        <w:t>6</w:t>
      </w:r>
      <w:r w:rsidRPr="00C42008">
        <w:rPr>
          <w:szCs w:val="24"/>
        </w:rPr>
        <w:t>-0</w:t>
      </w:r>
      <w:r w:rsidR="005E4870">
        <w:rPr>
          <w:szCs w:val="24"/>
        </w:rPr>
        <w:t>7</w:t>
      </w:r>
      <w:r w:rsidRPr="00C42008">
        <w:rPr>
          <w:szCs w:val="24"/>
        </w:rPr>
        <w:t xml:space="preserve"> as 5 years</w:t>
      </w:r>
    </w:p>
    <w:p w:rsidR="006146F1" w:rsidRPr="00C42008" w:rsidRDefault="00BC5DA8" w:rsidP="006146F1">
      <w:pPr>
        <w:pStyle w:val="DefaultText"/>
        <w:numPr>
          <w:ilvl w:val="0"/>
          <w:numId w:val="20"/>
        </w:numPr>
        <w:rPr>
          <w:szCs w:val="24"/>
        </w:rPr>
      </w:pPr>
      <w:r w:rsidRPr="00C42008">
        <w:rPr>
          <w:szCs w:val="24"/>
        </w:rPr>
        <w:t>winter/spring term of 200</w:t>
      </w:r>
      <w:r w:rsidR="005E4870">
        <w:rPr>
          <w:szCs w:val="24"/>
        </w:rPr>
        <w:t>5</w:t>
      </w:r>
      <w:r w:rsidRPr="00C42008">
        <w:rPr>
          <w:szCs w:val="24"/>
        </w:rPr>
        <w:t>-0</w:t>
      </w:r>
      <w:r w:rsidR="005E4870">
        <w:rPr>
          <w:szCs w:val="24"/>
        </w:rPr>
        <w:t>6</w:t>
      </w:r>
      <w:r w:rsidRPr="00C42008">
        <w:rPr>
          <w:szCs w:val="24"/>
        </w:rPr>
        <w:t xml:space="preserve"> as 5.5 years</w:t>
      </w:r>
    </w:p>
    <w:p w:rsidR="006146F1" w:rsidRPr="00C42008" w:rsidRDefault="00BC5DA8" w:rsidP="006146F1">
      <w:pPr>
        <w:pStyle w:val="DefaultText"/>
        <w:numPr>
          <w:ilvl w:val="0"/>
          <w:numId w:val="20"/>
        </w:numPr>
        <w:rPr>
          <w:szCs w:val="24"/>
        </w:rPr>
      </w:pPr>
      <w:r w:rsidRPr="00C42008">
        <w:rPr>
          <w:szCs w:val="24"/>
        </w:rPr>
        <w:t>summer or fall terms of 200</w:t>
      </w:r>
      <w:r w:rsidR="005E4870">
        <w:rPr>
          <w:szCs w:val="24"/>
        </w:rPr>
        <w:t>5</w:t>
      </w:r>
      <w:r w:rsidRPr="00C42008">
        <w:rPr>
          <w:szCs w:val="24"/>
        </w:rPr>
        <w:t>-0</w:t>
      </w:r>
      <w:r w:rsidR="005E4870">
        <w:rPr>
          <w:szCs w:val="24"/>
        </w:rPr>
        <w:t>6</w:t>
      </w:r>
      <w:r w:rsidRPr="00C42008">
        <w:rPr>
          <w:szCs w:val="24"/>
        </w:rPr>
        <w:t xml:space="preserve"> as 6 years</w:t>
      </w:r>
    </w:p>
    <w:p w:rsidR="006146F1" w:rsidRPr="00C42008" w:rsidRDefault="00BC5DA8" w:rsidP="006146F1">
      <w:pPr>
        <w:pStyle w:val="DefaultText"/>
        <w:numPr>
          <w:ilvl w:val="0"/>
          <w:numId w:val="20"/>
        </w:numPr>
        <w:rPr>
          <w:szCs w:val="24"/>
        </w:rPr>
      </w:pPr>
      <w:r w:rsidRPr="00C42008">
        <w:rPr>
          <w:szCs w:val="24"/>
        </w:rPr>
        <w:t>winter/spring term of 200</w:t>
      </w:r>
      <w:r w:rsidR="005E4870">
        <w:rPr>
          <w:szCs w:val="24"/>
        </w:rPr>
        <w:t>4</w:t>
      </w:r>
      <w:r w:rsidRPr="00C42008">
        <w:rPr>
          <w:szCs w:val="24"/>
        </w:rPr>
        <w:t>-0</w:t>
      </w:r>
      <w:r w:rsidR="005E4870">
        <w:rPr>
          <w:szCs w:val="24"/>
        </w:rPr>
        <w:t>5</w:t>
      </w:r>
      <w:r w:rsidRPr="00C42008">
        <w:rPr>
          <w:szCs w:val="24"/>
        </w:rPr>
        <w:t xml:space="preserve"> as 6.5 years</w:t>
      </w:r>
    </w:p>
    <w:p w:rsidR="006146F1" w:rsidRPr="00C42008" w:rsidRDefault="00BC5DA8" w:rsidP="006146F1">
      <w:pPr>
        <w:pStyle w:val="DefaultText"/>
        <w:numPr>
          <w:ilvl w:val="0"/>
          <w:numId w:val="20"/>
        </w:numPr>
        <w:rPr>
          <w:szCs w:val="24"/>
        </w:rPr>
      </w:pPr>
      <w:r w:rsidRPr="00C42008">
        <w:rPr>
          <w:szCs w:val="24"/>
        </w:rPr>
        <w:t>summer or fall terms of 200</w:t>
      </w:r>
      <w:r w:rsidR="005E4870">
        <w:rPr>
          <w:szCs w:val="24"/>
        </w:rPr>
        <w:t>4-</w:t>
      </w:r>
      <w:r w:rsidRPr="00C42008">
        <w:rPr>
          <w:szCs w:val="24"/>
        </w:rPr>
        <w:t>0</w:t>
      </w:r>
      <w:r w:rsidR="005E4870">
        <w:rPr>
          <w:szCs w:val="24"/>
        </w:rPr>
        <w:t>5</w:t>
      </w:r>
      <w:r w:rsidRPr="00C42008">
        <w:rPr>
          <w:szCs w:val="24"/>
        </w:rPr>
        <w:t xml:space="preserve"> as 7 years</w:t>
      </w:r>
    </w:p>
    <w:p w:rsidR="006146F1" w:rsidRPr="00C42008" w:rsidRDefault="00BC5DA8" w:rsidP="006146F1">
      <w:pPr>
        <w:pStyle w:val="DefaultText"/>
        <w:numPr>
          <w:ilvl w:val="0"/>
          <w:numId w:val="20"/>
        </w:numPr>
        <w:rPr>
          <w:szCs w:val="24"/>
        </w:rPr>
      </w:pPr>
      <w:r w:rsidRPr="00C42008">
        <w:rPr>
          <w:szCs w:val="24"/>
        </w:rPr>
        <w:t>winter/s</w:t>
      </w:r>
      <w:r w:rsidR="006146F1" w:rsidRPr="00C42008">
        <w:rPr>
          <w:szCs w:val="24"/>
        </w:rPr>
        <w:t>p</w:t>
      </w:r>
      <w:r w:rsidRPr="00C42008">
        <w:rPr>
          <w:szCs w:val="24"/>
        </w:rPr>
        <w:t>ring term of 200</w:t>
      </w:r>
      <w:r w:rsidR="005E4870">
        <w:rPr>
          <w:szCs w:val="24"/>
        </w:rPr>
        <w:t>3</w:t>
      </w:r>
      <w:r w:rsidRPr="00C42008">
        <w:rPr>
          <w:szCs w:val="24"/>
        </w:rPr>
        <w:t>-0</w:t>
      </w:r>
      <w:r w:rsidR="005E4870">
        <w:rPr>
          <w:szCs w:val="24"/>
        </w:rPr>
        <w:t>4</w:t>
      </w:r>
      <w:r w:rsidRPr="00C42008">
        <w:rPr>
          <w:szCs w:val="24"/>
        </w:rPr>
        <w:t xml:space="preserve"> as 7.5 years </w:t>
      </w:r>
    </w:p>
    <w:p w:rsidR="006146F1" w:rsidRPr="00C42008" w:rsidRDefault="00BC5DA8" w:rsidP="006146F1">
      <w:pPr>
        <w:pStyle w:val="DefaultText"/>
        <w:numPr>
          <w:ilvl w:val="0"/>
          <w:numId w:val="20"/>
        </w:numPr>
        <w:rPr>
          <w:szCs w:val="24"/>
        </w:rPr>
      </w:pPr>
      <w:r w:rsidRPr="00C42008">
        <w:rPr>
          <w:szCs w:val="24"/>
        </w:rPr>
        <w:t>summer or fall terms of 200</w:t>
      </w:r>
      <w:r w:rsidR="005E4870">
        <w:rPr>
          <w:szCs w:val="24"/>
        </w:rPr>
        <w:t>3</w:t>
      </w:r>
      <w:r w:rsidRPr="00C42008">
        <w:rPr>
          <w:szCs w:val="24"/>
        </w:rPr>
        <w:t>-0</w:t>
      </w:r>
      <w:r w:rsidR="005E4870">
        <w:rPr>
          <w:szCs w:val="24"/>
        </w:rPr>
        <w:t>4</w:t>
      </w:r>
      <w:r w:rsidRPr="00C42008">
        <w:rPr>
          <w:szCs w:val="24"/>
        </w:rPr>
        <w:t xml:space="preserve"> as 8 years</w:t>
      </w:r>
    </w:p>
    <w:p w:rsidR="006146F1" w:rsidRPr="00C42008" w:rsidRDefault="00BC5DA8" w:rsidP="006146F1">
      <w:pPr>
        <w:pStyle w:val="DefaultText"/>
        <w:numPr>
          <w:ilvl w:val="0"/>
          <w:numId w:val="20"/>
        </w:numPr>
        <w:rPr>
          <w:szCs w:val="24"/>
        </w:rPr>
      </w:pPr>
      <w:r w:rsidRPr="00C42008">
        <w:rPr>
          <w:szCs w:val="24"/>
        </w:rPr>
        <w:t xml:space="preserve">winter/spring term of </w:t>
      </w:r>
      <w:r w:rsidR="00E2266A" w:rsidRPr="00C42008">
        <w:rPr>
          <w:szCs w:val="24"/>
        </w:rPr>
        <w:t>200</w:t>
      </w:r>
      <w:r w:rsidR="005E4870">
        <w:rPr>
          <w:szCs w:val="24"/>
        </w:rPr>
        <w:t>2</w:t>
      </w:r>
      <w:r w:rsidRPr="00C42008">
        <w:rPr>
          <w:szCs w:val="24"/>
        </w:rPr>
        <w:t>-0</w:t>
      </w:r>
      <w:r w:rsidR="005E4870">
        <w:rPr>
          <w:szCs w:val="24"/>
        </w:rPr>
        <w:t>3</w:t>
      </w:r>
      <w:r w:rsidRPr="00C42008">
        <w:rPr>
          <w:szCs w:val="24"/>
        </w:rPr>
        <w:t xml:space="preserve"> as 8.5 years </w:t>
      </w:r>
    </w:p>
    <w:p w:rsidR="006146F1" w:rsidRPr="00C42008" w:rsidRDefault="00BC5DA8" w:rsidP="006146F1">
      <w:pPr>
        <w:pStyle w:val="DefaultText"/>
        <w:numPr>
          <w:ilvl w:val="0"/>
          <w:numId w:val="20"/>
        </w:numPr>
        <w:rPr>
          <w:szCs w:val="24"/>
        </w:rPr>
      </w:pPr>
      <w:r w:rsidRPr="00C42008">
        <w:rPr>
          <w:szCs w:val="24"/>
        </w:rPr>
        <w:t xml:space="preserve">summer or fall terms of </w:t>
      </w:r>
      <w:r w:rsidR="00E2266A" w:rsidRPr="00C42008">
        <w:rPr>
          <w:szCs w:val="24"/>
        </w:rPr>
        <w:t>200</w:t>
      </w:r>
      <w:r w:rsidR="005E4870">
        <w:rPr>
          <w:szCs w:val="24"/>
        </w:rPr>
        <w:t>2</w:t>
      </w:r>
      <w:r w:rsidRPr="00C42008">
        <w:rPr>
          <w:szCs w:val="24"/>
        </w:rPr>
        <w:t>-0</w:t>
      </w:r>
      <w:r w:rsidR="005E4870">
        <w:rPr>
          <w:szCs w:val="24"/>
        </w:rPr>
        <w:t>3</w:t>
      </w:r>
      <w:r w:rsidRPr="00C42008">
        <w:rPr>
          <w:szCs w:val="24"/>
        </w:rPr>
        <w:t xml:space="preserve"> as 9 years</w:t>
      </w:r>
    </w:p>
    <w:p w:rsidR="006146F1" w:rsidRPr="00C42008" w:rsidRDefault="00BC5DA8" w:rsidP="006146F1">
      <w:pPr>
        <w:pStyle w:val="DefaultText"/>
        <w:numPr>
          <w:ilvl w:val="0"/>
          <w:numId w:val="20"/>
        </w:numPr>
        <w:rPr>
          <w:szCs w:val="24"/>
        </w:rPr>
      </w:pPr>
      <w:r w:rsidRPr="00C42008">
        <w:rPr>
          <w:szCs w:val="24"/>
        </w:rPr>
        <w:t xml:space="preserve">winter/spring term of </w:t>
      </w:r>
      <w:r w:rsidR="007B76A0">
        <w:rPr>
          <w:szCs w:val="24"/>
        </w:rPr>
        <w:t>200</w:t>
      </w:r>
      <w:r w:rsidR="005E4870">
        <w:rPr>
          <w:szCs w:val="24"/>
        </w:rPr>
        <w:t>1</w:t>
      </w:r>
      <w:r w:rsidRPr="00C42008">
        <w:rPr>
          <w:szCs w:val="24"/>
        </w:rPr>
        <w:t>-</w:t>
      </w:r>
      <w:r w:rsidR="00E2266A" w:rsidRPr="00C42008">
        <w:rPr>
          <w:szCs w:val="24"/>
        </w:rPr>
        <w:t>0</w:t>
      </w:r>
      <w:r w:rsidR="005E4870">
        <w:rPr>
          <w:szCs w:val="24"/>
        </w:rPr>
        <w:t>2</w:t>
      </w:r>
      <w:r w:rsidRPr="00C42008">
        <w:rPr>
          <w:szCs w:val="24"/>
        </w:rPr>
        <w:t xml:space="preserve"> as 9.5 years </w:t>
      </w:r>
    </w:p>
    <w:p w:rsidR="006146F1" w:rsidRPr="00C42008" w:rsidRDefault="00BC5DA8" w:rsidP="006146F1">
      <w:pPr>
        <w:pStyle w:val="DefaultText"/>
        <w:numPr>
          <w:ilvl w:val="0"/>
          <w:numId w:val="20"/>
        </w:numPr>
        <w:rPr>
          <w:szCs w:val="24"/>
        </w:rPr>
      </w:pPr>
      <w:proofErr w:type="gramStart"/>
      <w:r w:rsidRPr="00C42008">
        <w:rPr>
          <w:szCs w:val="24"/>
        </w:rPr>
        <w:t>summer</w:t>
      </w:r>
      <w:proofErr w:type="gramEnd"/>
      <w:r w:rsidRPr="00C42008">
        <w:rPr>
          <w:szCs w:val="24"/>
        </w:rPr>
        <w:t xml:space="preserve"> or fall terms of </w:t>
      </w:r>
      <w:r w:rsidR="005E4870">
        <w:rPr>
          <w:szCs w:val="24"/>
        </w:rPr>
        <w:t>1999</w:t>
      </w:r>
      <w:r w:rsidRPr="00C42008">
        <w:rPr>
          <w:szCs w:val="24"/>
        </w:rPr>
        <w:t>-</w:t>
      </w:r>
      <w:r w:rsidR="00E2266A" w:rsidRPr="00C42008">
        <w:rPr>
          <w:szCs w:val="24"/>
        </w:rPr>
        <w:t>0</w:t>
      </w:r>
      <w:r w:rsidR="005E4870">
        <w:rPr>
          <w:szCs w:val="24"/>
        </w:rPr>
        <w:t>0</w:t>
      </w:r>
      <w:r w:rsidRPr="00C42008">
        <w:rPr>
          <w:szCs w:val="24"/>
        </w:rPr>
        <w:t xml:space="preserve"> </w:t>
      </w:r>
      <w:r w:rsidR="006146F1" w:rsidRPr="00C42008">
        <w:rPr>
          <w:szCs w:val="24"/>
          <w:u w:val="single"/>
        </w:rPr>
        <w:t>or earlier</w:t>
      </w:r>
      <w:r w:rsidR="006146F1" w:rsidRPr="00C42008">
        <w:rPr>
          <w:szCs w:val="24"/>
        </w:rPr>
        <w:t xml:space="preserve"> </w:t>
      </w:r>
      <w:r w:rsidRPr="00C42008">
        <w:rPr>
          <w:szCs w:val="24"/>
        </w:rPr>
        <w:t>as 10 years</w:t>
      </w:r>
      <w:r w:rsidR="00065CAA" w:rsidRPr="00C42008">
        <w:rPr>
          <w:szCs w:val="24"/>
        </w:rPr>
        <w:t>.</w:t>
      </w:r>
    </w:p>
    <w:p w:rsidR="00FB47DD" w:rsidRPr="00C42008" w:rsidRDefault="00FB47DD" w:rsidP="00FB47DD">
      <w:pPr>
        <w:pStyle w:val="DefaultText"/>
        <w:spacing w:before="60" w:after="60"/>
        <w:ind w:firstLine="270"/>
        <w:rPr>
          <w:szCs w:val="24"/>
        </w:rPr>
      </w:pPr>
      <w:r w:rsidRPr="00C42008">
        <w:rPr>
          <w:szCs w:val="24"/>
        </w:rPr>
        <w:t xml:space="preserve">These </w:t>
      </w:r>
      <w:r w:rsidR="002125D7" w:rsidRPr="002125D7">
        <w:rPr>
          <w:i/>
          <w:szCs w:val="24"/>
        </w:rPr>
        <w:t>years to degree at the awarding institution</w:t>
      </w:r>
      <w:r w:rsidR="002125D7">
        <w:rPr>
          <w:szCs w:val="24"/>
        </w:rPr>
        <w:t xml:space="preserve"> </w:t>
      </w:r>
      <w:r w:rsidRPr="00C42008">
        <w:rPr>
          <w:szCs w:val="24"/>
        </w:rPr>
        <w:t xml:space="preserve">figures are then averaged </w:t>
      </w:r>
      <w:r w:rsidR="002125D7" w:rsidRPr="00C42008">
        <w:rPr>
          <w:szCs w:val="24"/>
        </w:rPr>
        <w:t xml:space="preserve">(B.1.) </w:t>
      </w:r>
      <w:r w:rsidRPr="00C42008">
        <w:rPr>
          <w:szCs w:val="24"/>
        </w:rPr>
        <w:t>for</w:t>
      </w:r>
      <w:r w:rsidR="008F56F7" w:rsidRPr="00C42008">
        <w:rPr>
          <w:szCs w:val="24"/>
        </w:rPr>
        <w:t xml:space="preserve"> </w:t>
      </w:r>
      <w:r w:rsidRPr="00C42008">
        <w:rPr>
          <w:szCs w:val="24"/>
        </w:rPr>
        <w:t>those who were first time</w:t>
      </w:r>
      <w:r w:rsidR="002125D7">
        <w:rPr>
          <w:szCs w:val="24"/>
        </w:rPr>
        <w:t xml:space="preserve"> in college</w:t>
      </w:r>
      <w:r w:rsidRPr="00C42008">
        <w:rPr>
          <w:szCs w:val="24"/>
        </w:rPr>
        <w:t xml:space="preserve"> freshmen at the awarding institution </w:t>
      </w:r>
      <w:r w:rsidR="00C02246" w:rsidRPr="00C42008">
        <w:rPr>
          <w:szCs w:val="24"/>
        </w:rPr>
        <w:t xml:space="preserve">who </w:t>
      </w:r>
      <w:r w:rsidR="002125D7">
        <w:rPr>
          <w:szCs w:val="24"/>
        </w:rPr>
        <w:t xml:space="preserve">could be identified to have </w:t>
      </w:r>
      <w:r w:rsidR="004E167D" w:rsidRPr="00C42008">
        <w:rPr>
          <w:szCs w:val="24"/>
        </w:rPr>
        <w:t>enroll</w:t>
      </w:r>
      <w:r w:rsidR="002125D7">
        <w:rPr>
          <w:szCs w:val="24"/>
        </w:rPr>
        <w:t xml:space="preserve">ed </w:t>
      </w:r>
      <w:r w:rsidR="004E167D" w:rsidRPr="00C42008">
        <w:rPr>
          <w:szCs w:val="24"/>
        </w:rPr>
        <w:t xml:space="preserve">for </w:t>
      </w:r>
      <w:r w:rsidR="00C02246" w:rsidRPr="00C42008">
        <w:rPr>
          <w:szCs w:val="24"/>
        </w:rPr>
        <w:t xml:space="preserve">college </w:t>
      </w:r>
      <w:r w:rsidR="004E167D" w:rsidRPr="00C42008">
        <w:rPr>
          <w:szCs w:val="24"/>
        </w:rPr>
        <w:t xml:space="preserve">credit </w:t>
      </w:r>
      <w:r w:rsidR="00C02246" w:rsidRPr="00C42008">
        <w:rPr>
          <w:szCs w:val="24"/>
        </w:rPr>
        <w:t>while in high school (full- or part-time)</w:t>
      </w:r>
      <w:r w:rsidR="008F56F7" w:rsidRPr="00C42008">
        <w:rPr>
          <w:szCs w:val="24"/>
        </w:rPr>
        <w:t xml:space="preserve">; </w:t>
      </w:r>
      <w:r w:rsidR="00C02246" w:rsidRPr="00C42008">
        <w:rPr>
          <w:szCs w:val="24"/>
        </w:rPr>
        <w:t>(</w:t>
      </w:r>
      <w:r w:rsidR="008F56F7" w:rsidRPr="00C42008">
        <w:rPr>
          <w:szCs w:val="24"/>
        </w:rPr>
        <w:t>B.2</w:t>
      </w:r>
      <w:r w:rsidR="00C02246" w:rsidRPr="00C42008">
        <w:rPr>
          <w:szCs w:val="24"/>
        </w:rPr>
        <w:t>)</w:t>
      </w:r>
      <w:r w:rsidR="008F56F7" w:rsidRPr="00C42008">
        <w:rPr>
          <w:szCs w:val="24"/>
        </w:rPr>
        <w:t xml:space="preserve"> those who were </w:t>
      </w:r>
      <w:r w:rsidR="002125D7">
        <w:rPr>
          <w:szCs w:val="24"/>
        </w:rPr>
        <w:t xml:space="preserve">first time in college </w:t>
      </w:r>
      <w:r w:rsidR="00C42008">
        <w:rPr>
          <w:szCs w:val="24"/>
        </w:rPr>
        <w:t>without prior enrollment</w:t>
      </w:r>
      <w:r w:rsidR="002125D7">
        <w:rPr>
          <w:szCs w:val="24"/>
        </w:rPr>
        <w:t xml:space="preserve"> with no identifiable credits taken while in high school </w:t>
      </w:r>
      <w:r w:rsidR="00C02246" w:rsidRPr="00C42008">
        <w:rPr>
          <w:szCs w:val="24"/>
        </w:rPr>
        <w:t>(full- or part-time)</w:t>
      </w:r>
      <w:r w:rsidR="008F56F7" w:rsidRPr="00C42008">
        <w:rPr>
          <w:szCs w:val="24"/>
        </w:rPr>
        <w:t>;</w:t>
      </w:r>
      <w:r w:rsidR="00C02246" w:rsidRPr="00C42008">
        <w:rPr>
          <w:szCs w:val="24"/>
        </w:rPr>
        <w:t xml:space="preserve"> </w:t>
      </w:r>
      <w:r w:rsidRPr="00C42008">
        <w:rPr>
          <w:szCs w:val="24"/>
        </w:rPr>
        <w:t xml:space="preserve">and </w:t>
      </w:r>
      <w:r w:rsidR="00C02246" w:rsidRPr="00C42008">
        <w:rPr>
          <w:szCs w:val="24"/>
        </w:rPr>
        <w:t>(</w:t>
      </w:r>
      <w:r w:rsidR="008F56F7" w:rsidRPr="00C42008">
        <w:rPr>
          <w:szCs w:val="24"/>
        </w:rPr>
        <w:t>C</w:t>
      </w:r>
      <w:r w:rsidR="00C02246" w:rsidRPr="00C42008">
        <w:rPr>
          <w:szCs w:val="24"/>
        </w:rPr>
        <w:t xml:space="preserve">) </w:t>
      </w:r>
      <w:r w:rsidRPr="00C42008">
        <w:rPr>
          <w:szCs w:val="24"/>
        </w:rPr>
        <w:t xml:space="preserve">those who transferred into the awarding institution (full- or part-time). Report the averages in years with </w:t>
      </w:r>
      <w:r w:rsidRPr="007B76A0">
        <w:rPr>
          <w:szCs w:val="24"/>
        </w:rPr>
        <w:t>at least two decimal places</w:t>
      </w:r>
      <w:r w:rsidRPr="00C42008">
        <w:rPr>
          <w:szCs w:val="24"/>
        </w:rPr>
        <w:t>.</w:t>
      </w:r>
    </w:p>
    <w:p w:rsidR="00191298" w:rsidRPr="007B76A0" w:rsidRDefault="006B7CFB" w:rsidP="00FB47DD">
      <w:pPr>
        <w:pStyle w:val="DefaultText"/>
        <w:spacing w:before="60" w:after="60"/>
        <w:ind w:firstLine="270"/>
        <w:rPr>
          <w:szCs w:val="24"/>
        </w:rPr>
      </w:pPr>
      <w:r>
        <w:rPr>
          <w:szCs w:val="24"/>
        </w:rPr>
        <w:t xml:space="preserve"> In identifying full-time or </w:t>
      </w:r>
      <w:r w:rsidR="00191298" w:rsidRPr="007B76A0">
        <w:rPr>
          <w:szCs w:val="24"/>
        </w:rPr>
        <w:t>part-time</w:t>
      </w:r>
      <w:r w:rsidR="00BF1A64" w:rsidRPr="007B76A0">
        <w:rPr>
          <w:szCs w:val="24"/>
        </w:rPr>
        <w:t>, 12 or more semester credit hours</w:t>
      </w:r>
      <w:r w:rsidR="00191298" w:rsidRPr="007B76A0">
        <w:rPr>
          <w:szCs w:val="24"/>
        </w:rPr>
        <w:t xml:space="preserve"> </w:t>
      </w:r>
      <w:r w:rsidR="00BF1A64" w:rsidRPr="007B76A0">
        <w:rPr>
          <w:szCs w:val="24"/>
        </w:rPr>
        <w:t xml:space="preserve">constitutes full time (as in student aid eligibility considerations). </w:t>
      </w:r>
    </w:p>
    <w:p w:rsidR="0095224A" w:rsidRDefault="00FB47DD" w:rsidP="007B76A0">
      <w:pPr>
        <w:pStyle w:val="DefaultText"/>
        <w:spacing w:before="60" w:after="60"/>
        <w:ind w:firstLine="0"/>
      </w:pPr>
      <w:r w:rsidRPr="007B76A0">
        <w:rPr>
          <w:szCs w:val="24"/>
          <w:u w:val="single"/>
        </w:rPr>
        <w:t>Attempted</w:t>
      </w:r>
      <w:r w:rsidRPr="007B76A0">
        <w:rPr>
          <w:u w:val="single"/>
        </w:rPr>
        <w:t xml:space="preserve"> </w:t>
      </w:r>
      <w:r w:rsidRPr="00C42008">
        <w:rPr>
          <w:u w:val="single"/>
        </w:rPr>
        <w:t xml:space="preserve">Credits to </w:t>
      </w:r>
      <w:r w:rsidR="00BF1A64">
        <w:rPr>
          <w:u w:val="single"/>
        </w:rPr>
        <w:t>Degree</w:t>
      </w:r>
      <w:r w:rsidRPr="00C42008">
        <w:t>: Students</w:t>
      </w:r>
      <w:r w:rsidR="008E6AC9" w:rsidRPr="00C42008">
        <w:t>’</w:t>
      </w:r>
      <w:r w:rsidRPr="00C42008">
        <w:t xml:space="preserve"> </w:t>
      </w:r>
      <w:r w:rsidRPr="002125D7">
        <w:rPr>
          <w:i/>
        </w:rPr>
        <w:t>attempt</w:t>
      </w:r>
      <w:r w:rsidR="008E6AC9" w:rsidRPr="002125D7">
        <w:rPr>
          <w:i/>
        </w:rPr>
        <w:t>ed</w:t>
      </w:r>
      <w:r w:rsidRPr="002125D7">
        <w:rPr>
          <w:i/>
        </w:rPr>
        <w:t xml:space="preserve"> credits at the institution they receive their </w:t>
      </w:r>
      <w:r w:rsidR="007B76A0">
        <w:rPr>
          <w:i/>
        </w:rPr>
        <w:t>degrees</w:t>
      </w:r>
      <w:r w:rsidRPr="002125D7">
        <w:rPr>
          <w:i/>
        </w:rPr>
        <w:t xml:space="preserve"> from</w:t>
      </w:r>
      <w:r w:rsidRPr="00C42008">
        <w:t xml:space="preserve"> </w:t>
      </w:r>
      <w:r w:rsidR="008F56F7" w:rsidRPr="00C42008">
        <w:t>may also be reported u</w:t>
      </w:r>
      <w:r w:rsidRPr="00C42008">
        <w:t>sing census</w:t>
      </w:r>
      <w:r w:rsidR="00EB37C7" w:rsidRPr="00C42008">
        <w:t>-</w:t>
      </w:r>
      <w:r w:rsidRPr="00C42008">
        <w:t>date files</w:t>
      </w:r>
      <w:r w:rsidR="008F56F7" w:rsidRPr="00C42008">
        <w:t>. C</w:t>
      </w:r>
      <w:r w:rsidRPr="00C42008">
        <w:t>ount the attempted credits for all terms the comp</w:t>
      </w:r>
      <w:r w:rsidR="00077BCB" w:rsidRPr="00C42008">
        <w:t>leting students were enrolled</w:t>
      </w:r>
      <w:r w:rsidR="002125D7">
        <w:t xml:space="preserve"> at the awarding institution</w:t>
      </w:r>
      <w:r w:rsidR="00077BCB" w:rsidRPr="00C42008">
        <w:t xml:space="preserve">. </w:t>
      </w:r>
      <w:r w:rsidRPr="00C42008">
        <w:t xml:space="preserve">Credits earned or accepted for transfer </w:t>
      </w:r>
      <w:r w:rsidR="00BF1A64">
        <w:t xml:space="preserve">as recorded on transcripts or databases </w:t>
      </w:r>
      <w:r w:rsidRPr="00C42008">
        <w:t xml:space="preserve">are </w:t>
      </w:r>
      <w:r w:rsidRPr="007B76A0">
        <w:rPr>
          <w:u w:val="single"/>
        </w:rPr>
        <w:t>not</w:t>
      </w:r>
      <w:r w:rsidRPr="00C42008">
        <w:t xml:space="preserve"> reported since census date attempted credit hours are the basis for this survey.</w:t>
      </w:r>
      <w:r w:rsidR="00077BCB" w:rsidRPr="00C42008">
        <w:t xml:space="preserve"> </w:t>
      </w:r>
      <w:r w:rsidR="00BF1A64">
        <w:t xml:space="preserve">Similarly, credits for </w:t>
      </w:r>
      <w:r w:rsidR="00077BCB" w:rsidRPr="00C42008">
        <w:t xml:space="preserve">AP and IB classes taken by high school students are </w:t>
      </w:r>
      <w:r w:rsidR="00077BCB" w:rsidRPr="007B76A0">
        <w:rPr>
          <w:u w:val="single"/>
        </w:rPr>
        <w:t>not</w:t>
      </w:r>
      <w:r w:rsidR="00077BCB" w:rsidRPr="00C42008">
        <w:t xml:space="preserve"> considered college classes for this report since that cannot be determined from census date class enrollment files. </w:t>
      </w:r>
    </w:p>
    <w:p w:rsidR="000776A4" w:rsidRPr="00C42008" w:rsidRDefault="000776A4" w:rsidP="00077BCB">
      <w:pPr>
        <w:pStyle w:val="NormalWeb"/>
        <w:spacing w:before="0" w:beforeAutospacing="0" w:after="60" w:afterAutospacing="0"/>
      </w:pPr>
      <w:r>
        <w:tab/>
        <w:t xml:space="preserve">Please indicate the typical hours required for bachelor’s or associate’s degrees as applicable. </w:t>
      </w:r>
    </w:p>
    <w:p w:rsidR="00FB47DD" w:rsidRPr="00C42008" w:rsidRDefault="007B76A0" w:rsidP="00FB47DD">
      <w:pPr>
        <w:pStyle w:val="DefaultText"/>
        <w:spacing w:before="60" w:after="60"/>
        <w:ind w:firstLine="270"/>
        <w:rPr>
          <w:szCs w:val="24"/>
          <w:u w:val="single"/>
        </w:rPr>
      </w:pPr>
      <w:r>
        <w:rPr>
          <w:szCs w:val="24"/>
          <w:u w:val="single"/>
        </w:rPr>
        <w:t>A</w:t>
      </w:r>
      <w:r w:rsidR="00FB47DD" w:rsidRPr="00C42008">
        <w:rPr>
          <w:szCs w:val="24"/>
          <w:u w:val="single"/>
        </w:rPr>
        <w:t xml:space="preserve">ll agencies are to report </w:t>
      </w:r>
      <w:r>
        <w:rPr>
          <w:szCs w:val="24"/>
          <w:u w:val="single"/>
        </w:rPr>
        <w:t>S</w:t>
      </w:r>
      <w:r w:rsidR="00FB47DD" w:rsidRPr="00C42008">
        <w:rPr>
          <w:szCs w:val="24"/>
          <w:u w:val="single"/>
        </w:rPr>
        <w:t xml:space="preserve">ection A. Within </w:t>
      </w:r>
      <w:r>
        <w:rPr>
          <w:szCs w:val="24"/>
          <w:u w:val="single"/>
        </w:rPr>
        <w:t>S</w:t>
      </w:r>
      <w:r w:rsidR="00FB47DD" w:rsidRPr="00C42008">
        <w:rPr>
          <w:szCs w:val="24"/>
          <w:u w:val="single"/>
        </w:rPr>
        <w:t>ections B and C, all agencies are to report the “</w:t>
      </w:r>
      <w:proofErr w:type="spellStart"/>
      <w:r w:rsidR="008F56F7" w:rsidRPr="00C42008">
        <w:rPr>
          <w:szCs w:val="24"/>
          <w:u w:val="single"/>
        </w:rPr>
        <w:t>i</w:t>
      </w:r>
      <w:proofErr w:type="spellEnd"/>
      <w:r w:rsidR="00FB47DD" w:rsidRPr="00C42008">
        <w:rPr>
          <w:szCs w:val="24"/>
          <w:u w:val="single"/>
        </w:rPr>
        <w:t>” and “</w:t>
      </w:r>
      <w:r w:rsidR="008F56F7" w:rsidRPr="00C42008">
        <w:rPr>
          <w:szCs w:val="24"/>
          <w:u w:val="single"/>
        </w:rPr>
        <w:t>ii</w:t>
      </w:r>
      <w:proofErr w:type="gramStart"/>
      <w:r w:rsidR="00FB47DD" w:rsidRPr="00C42008">
        <w:rPr>
          <w:szCs w:val="24"/>
          <w:u w:val="single"/>
        </w:rPr>
        <w:t>”</w:t>
      </w:r>
      <w:r w:rsidR="008F56F7" w:rsidRPr="00C42008">
        <w:rPr>
          <w:szCs w:val="24"/>
          <w:u w:val="single"/>
        </w:rPr>
        <w:t xml:space="preserve"> </w:t>
      </w:r>
      <w:r w:rsidR="00FB47DD" w:rsidRPr="00C42008">
        <w:rPr>
          <w:szCs w:val="24"/>
          <w:u w:val="single"/>
        </w:rPr>
        <w:t xml:space="preserve"> items</w:t>
      </w:r>
      <w:proofErr w:type="gramEnd"/>
      <w:r w:rsidR="00FB47DD" w:rsidRPr="00C42008">
        <w:rPr>
          <w:szCs w:val="24"/>
          <w:u w:val="single"/>
        </w:rPr>
        <w:t>. The “</w:t>
      </w:r>
      <w:r w:rsidR="008F56F7" w:rsidRPr="00C42008">
        <w:rPr>
          <w:szCs w:val="24"/>
          <w:u w:val="single"/>
        </w:rPr>
        <w:t>iii</w:t>
      </w:r>
      <w:r w:rsidR="00FB47DD" w:rsidRPr="00C42008">
        <w:rPr>
          <w:szCs w:val="24"/>
          <w:u w:val="single"/>
        </w:rPr>
        <w:t xml:space="preserve">” items are voluntary. </w:t>
      </w:r>
    </w:p>
    <w:p w:rsidR="005E4870" w:rsidRDefault="005E4870" w:rsidP="00FB47DD">
      <w:pPr>
        <w:pStyle w:val="DefaultText"/>
        <w:spacing w:before="60" w:after="60"/>
        <w:ind w:firstLine="270"/>
        <w:rPr>
          <w:szCs w:val="24"/>
          <w:u w:val="single"/>
        </w:rPr>
      </w:pPr>
    </w:p>
    <w:p w:rsidR="00FB47DD" w:rsidRPr="00C42008" w:rsidRDefault="00FB47DD" w:rsidP="00FB47DD">
      <w:pPr>
        <w:pStyle w:val="DefaultText"/>
        <w:spacing w:before="60" w:after="60"/>
        <w:ind w:firstLine="270"/>
        <w:rPr>
          <w:szCs w:val="24"/>
          <w:u w:val="single"/>
        </w:rPr>
      </w:pPr>
      <w:r w:rsidRPr="00C42008">
        <w:rPr>
          <w:szCs w:val="24"/>
          <w:u w:val="single"/>
        </w:rPr>
        <w:t xml:space="preserve">Clarifying </w:t>
      </w:r>
      <w:r w:rsidR="008F56F7" w:rsidRPr="00C42008">
        <w:rPr>
          <w:szCs w:val="24"/>
          <w:u w:val="single"/>
        </w:rPr>
        <w:t xml:space="preserve">Notes and </w:t>
      </w:r>
      <w:r w:rsidRPr="00C42008">
        <w:rPr>
          <w:szCs w:val="24"/>
          <w:u w:val="single"/>
        </w:rPr>
        <w:t xml:space="preserve">Examples: </w:t>
      </w:r>
    </w:p>
    <w:p w:rsidR="005E4870" w:rsidRDefault="005E4870" w:rsidP="008F56F7">
      <w:pPr>
        <w:pStyle w:val="NormalWeb"/>
        <w:numPr>
          <w:ilvl w:val="0"/>
          <w:numId w:val="19"/>
        </w:numPr>
        <w:spacing w:before="0" w:beforeAutospacing="0" w:after="60" w:afterAutospacing="0"/>
        <w:rPr>
          <w:rStyle w:val="grey9ptr"/>
        </w:rPr>
      </w:pPr>
      <w:r>
        <w:rPr>
          <w:rStyle w:val="grey9ptr"/>
        </w:rPr>
        <w:t>So called “zero credit” and other remedial/developmental education course hours are included.</w:t>
      </w:r>
    </w:p>
    <w:p w:rsidR="00FB47DD" w:rsidRPr="00C42008" w:rsidRDefault="00FB47DD" w:rsidP="008F56F7">
      <w:pPr>
        <w:pStyle w:val="NormalWeb"/>
        <w:numPr>
          <w:ilvl w:val="0"/>
          <w:numId w:val="19"/>
        </w:numPr>
        <w:spacing w:before="0" w:beforeAutospacing="0" w:after="60" w:afterAutospacing="0"/>
        <w:rPr>
          <w:rStyle w:val="grey9ptr"/>
        </w:rPr>
      </w:pPr>
      <w:r w:rsidRPr="00C42008">
        <w:rPr>
          <w:rStyle w:val="grey9ptr"/>
        </w:rPr>
        <w:lastRenderedPageBreak/>
        <w:t xml:space="preserve">If a student receives multiple undergraduate awards at different levels </w:t>
      </w:r>
      <w:r w:rsidRPr="00C42008">
        <w:rPr>
          <w:rStyle w:val="grey9ptr"/>
          <w:u w:val="single"/>
        </w:rPr>
        <w:t>in the same year</w:t>
      </w:r>
      <w:r w:rsidRPr="00C42008">
        <w:rPr>
          <w:rStyle w:val="grey9ptr"/>
        </w:rPr>
        <w:t>, report the student by the highest level award earned.</w:t>
      </w:r>
    </w:p>
    <w:p w:rsidR="001F482B" w:rsidRPr="00C42008" w:rsidRDefault="001F482B" w:rsidP="008F56F7">
      <w:pPr>
        <w:pStyle w:val="NormalWeb"/>
        <w:numPr>
          <w:ilvl w:val="0"/>
          <w:numId w:val="19"/>
        </w:numPr>
        <w:spacing w:before="0" w:beforeAutospacing="0" w:after="60" w:afterAutospacing="0"/>
        <w:rPr>
          <w:rStyle w:val="grey9ptr"/>
        </w:rPr>
      </w:pPr>
      <w:r w:rsidRPr="00C42008">
        <w:rPr>
          <w:rStyle w:val="grey9ptr"/>
        </w:rPr>
        <w:t xml:space="preserve">If students receive multiple undergraduate awards at the same level </w:t>
      </w:r>
      <w:r w:rsidRPr="00C42008">
        <w:rPr>
          <w:rStyle w:val="grey9ptr"/>
          <w:u w:val="single"/>
        </w:rPr>
        <w:t>in different years</w:t>
      </w:r>
      <w:r w:rsidRPr="00C42008">
        <w:rPr>
          <w:rStyle w:val="grey9ptr"/>
        </w:rPr>
        <w:t>, they get counted in each year. However, they should be treated as transfer students as of the first term they enroll after the first degree.</w:t>
      </w:r>
      <w:r w:rsidRPr="00C42008">
        <w:t xml:space="preserve"> </w:t>
      </w:r>
    </w:p>
    <w:p w:rsidR="00FB47DD" w:rsidRPr="00C42008" w:rsidRDefault="00FB47DD" w:rsidP="008F56F7">
      <w:pPr>
        <w:pStyle w:val="NormalWeb"/>
        <w:numPr>
          <w:ilvl w:val="0"/>
          <w:numId w:val="19"/>
        </w:numPr>
        <w:spacing w:before="0" w:beforeAutospacing="0" w:after="60" w:afterAutospacing="0"/>
        <w:rPr>
          <w:rStyle w:val="grey9ptr"/>
        </w:rPr>
      </w:pPr>
      <w:r w:rsidRPr="00C42008">
        <w:rPr>
          <w:rStyle w:val="grey9ptr"/>
        </w:rPr>
        <w:t xml:space="preserve"> If a student is a first-time, full-time freshman at school A, transfers to school B, then transfers back to and graduates from A, they show up as a first-time, full-time student at A.</w:t>
      </w:r>
    </w:p>
    <w:p w:rsidR="00FB47DD" w:rsidRPr="00C42008" w:rsidRDefault="00FB47DD" w:rsidP="008F56F7">
      <w:pPr>
        <w:pStyle w:val="NormalWeb"/>
        <w:numPr>
          <w:ilvl w:val="0"/>
          <w:numId w:val="19"/>
        </w:numPr>
        <w:spacing w:before="0" w:beforeAutospacing="0" w:after="60" w:afterAutospacing="0"/>
        <w:rPr>
          <w:rStyle w:val="grey9ptr"/>
        </w:rPr>
      </w:pPr>
      <w:r w:rsidRPr="00C42008">
        <w:rPr>
          <w:rStyle w:val="grey9ptr"/>
        </w:rPr>
        <w:t>If a student is a first-time, full-time freshman at school A, and the next year, the student attends both school A and school B, then transfers back to and graduates from A, they show up as a first-time, full-time student at A.</w:t>
      </w:r>
    </w:p>
    <w:p w:rsidR="00FB47DD" w:rsidRPr="00C42008" w:rsidRDefault="00FB47DD" w:rsidP="008F56F7">
      <w:pPr>
        <w:pStyle w:val="NormalWeb"/>
        <w:numPr>
          <w:ilvl w:val="0"/>
          <w:numId w:val="19"/>
        </w:numPr>
        <w:spacing w:before="0" w:beforeAutospacing="0" w:after="60" w:afterAutospacing="0"/>
        <w:rPr>
          <w:rStyle w:val="grey9ptr"/>
        </w:rPr>
      </w:pPr>
      <w:r w:rsidRPr="00C42008">
        <w:rPr>
          <w:rStyle w:val="grey9ptr"/>
        </w:rPr>
        <w:t xml:space="preserve"> If a student is a first-time, full-time freshman at school A, and the next year, the student attends both school </w:t>
      </w:r>
      <w:proofErr w:type="gramStart"/>
      <w:r w:rsidRPr="00C42008">
        <w:rPr>
          <w:rStyle w:val="grey9ptr"/>
        </w:rPr>
        <w:t>A</w:t>
      </w:r>
      <w:proofErr w:type="gramEnd"/>
      <w:r w:rsidRPr="00C42008">
        <w:rPr>
          <w:rStyle w:val="grey9ptr"/>
        </w:rPr>
        <w:t xml:space="preserve"> (full time) and school B (part time), then graduates from school B, they show up as a part-time transfer student at B.</w:t>
      </w:r>
    </w:p>
    <w:p w:rsidR="00FB47DD" w:rsidRPr="00C42008" w:rsidRDefault="00FB47DD" w:rsidP="00FB47DD">
      <w:pPr>
        <w:pStyle w:val="NormalWeb"/>
        <w:numPr>
          <w:ilvl w:val="0"/>
          <w:numId w:val="19"/>
        </w:numPr>
        <w:spacing w:before="0" w:beforeAutospacing="0" w:after="120" w:afterAutospacing="0"/>
        <w:rPr>
          <w:rStyle w:val="grey9ptr"/>
        </w:rPr>
      </w:pPr>
      <w:r w:rsidRPr="00C42008">
        <w:rPr>
          <w:rStyle w:val="grey9ptr"/>
        </w:rPr>
        <w:t>If there are students in the awards file that are not in any of the enrollment files, they should be reported as "enrollment status unknown</w:t>
      </w:r>
      <w:r w:rsidR="00FB79BB" w:rsidRPr="00C42008">
        <w:rPr>
          <w:rStyle w:val="grey9ptr"/>
        </w:rPr>
        <w:t>.”</w:t>
      </w:r>
    </w:p>
    <w:p w:rsidR="00C61E54" w:rsidRPr="00C42008" w:rsidRDefault="00C61E54" w:rsidP="00FB47DD">
      <w:pPr>
        <w:pStyle w:val="NormalWeb"/>
        <w:numPr>
          <w:ilvl w:val="0"/>
          <w:numId w:val="19"/>
        </w:numPr>
        <w:spacing w:before="0" w:beforeAutospacing="0" w:after="120" w:afterAutospacing="0"/>
        <w:rPr>
          <w:rStyle w:val="grey9ptr"/>
        </w:rPr>
      </w:pPr>
      <w:r w:rsidRPr="00C42008">
        <w:rPr>
          <w:rStyle w:val="grey9ptr"/>
        </w:rPr>
        <w:t>If there are student in the awards file and enrollment files that do not have a FTIC or Transfer Student tag, report them in the enrollment status unknown sub-section.</w:t>
      </w:r>
    </w:p>
    <w:p w:rsidR="00F55A3B" w:rsidRDefault="00FB47DD" w:rsidP="00FB47DD">
      <w:pPr>
        <w:pStyle w:val="DefaultText"/>
        <w:spacing w:before="60" w:after="60"/>
        <w:ind w:firstLine="270"/>
        <w:rPr>
          <w:szCs w:val="24"/>
        </w:rPr>
      </w:pPr>
      <w:r w:rsidRPr="00C42008">
        <w:rPr>
          <w:rStyle w:val="grey9ptr"/>
          <w:szCs w:val="24"/>
        </w:rPr>
        <w:tab/>
      </w:r>
      <w:r w:rsidRPr="00C42008">
        <w:rPr>
          <w:szCs w:val="24"/>
        </w:rPr>
        <w:t xml:space="preserve">These data are will be used to calculate the proportion of each graduating class that were </w:t>
      </w:r>
      <w:r w:rsidR="00424CD6" w:rsidRPr="00C42008">
        <w:rPr>
          <w:szCs w:val="24"/>
        </w:rPr>
        <w:t xml:space="preserve">(1) </w:t>
      </w:r>
      <w:r w:rsidRPr="00C42008">
        <w:rPr>
          <w:szCs w:val="24"/>
        </w:rPr>
        <w:t xml:space="preserve">first-time students </w:t>
      </w:r>
      <w:r w:rsidR="00424CD6" w:rsidRPr="00C42008">
        <w:rPr>
          <w:szCs w:val="24"/>
        </w:rPr>
        <w:t>at the awarding institution who took college</w:t>
      </w:r>
      <w:r w:rsidR="003976DE" w:rsidRPr="00C42008">
        <w:rPr>
          <w:szCs w:val="24"/>
        </w:rPr>
        <w:t xml:space="preserve"> </w:t>
      </w:r>
      <w:r w:rsidR="00424CD6" w:rsidRPr="00C42008">
        <w:rPr>
          <w:szCs w:val="24"/>
        </w:rPr>
        <w:t xml:space="preserve">credits while in high school </w:t>
      </w:r>
      <w:r w:rsidRPr="00C42008">
        <w:rPr>
          <w:szCs w:val="24"/>
        </w:rPr>
        <w:t>(</w:t>
      </w:r>
      <w:r w:rsidR="00424CD6" w:rsidRPr="00C42008">
        <w:rPr>
          <w:szCs w:val="24"/>
        </w:rPr>
        <w:t xml:space="preserve">sub-divided into whether they were </w:t>
      </w:r>
      <w:r w:rsidRPr="00C42008">
        <w:rPr>
          <w:szCs w:val="24"/>
        </w:rPr>
        <w:t>full-time or part-time)</w:t>
      </w:r>
      <w:r w:rsidR="00424CD6" w:rsidRPr="00C42008">
        <w:rPr>
          <w:color w:val="FF0000"/>
          <w:szCs w:val="24"/>
        </w:rPr>
        <w:t xml:space="preserve">; </w:t>
      </w:r>
      <w:r w:rsidR="00424CD6" w:rsidRPr="00C42008">
        <w:rPr>
          <w:szCs w:val="24"/>
        </w:rPr>
        <w:t>(2) first-time students at the awarding institution who did not take college credits while in high school (sub-divided into whether they were full-time or part-time when FTIC)</w:t>
      </w:r>
      <w:r w:rsidR="00424CD6" w:rsidRPr="00C42008">
        <w:rPr>
          <w:color w:val="FF0000"/>
          <w:szCs w:val="24"/>
        </w:rPr>
        <w:t xml:space="preserve">; </w:t>
      </w:r>
      <w:r w:rsidR="00424CD6" w:rsidRPr="00C42008">
        <w:rPr>
          <w:szCs w:val="24"/>
        </w:rPr>
        <w:t xml:space="preserve">and (3) </w:t>
      </w:r>
      <w:r w:rsidRPr="00C42008">
        <w:rPr>
          <w:szCs w:val="24"/>
        </w:rPr>
        <w:t xml:space="preserve">those that were transfer in students (full-time or part-time) or whose attendance status was unknown when first enrolling at the awarding institution. The average time to </w:t>
      </w:r>
      <w:r w:rsidR="00BF1A64">
        <w:rPr>
          <w:szCs w:val="24"/>
        </w:rPr>
        <w:t>degree</w:t>
      </w:r>
      <w:r w:rsidRPr="00C42008">
        <w:rPr>
          <w:szCs w:val="24"/>
        </w:rPr>
        <w:t xml:space="preserve"> will be calculated for </w:t>
      </w:r>
      <w:r w:rsidR="00424CD6" w:rsidRPr="00C42008">
        <w:rPr>
          <w:szCs w:val="24"/>
        </w:rPr>
        <w:t xml:space="preserve">each of the sub-categories of graduates. </w:t>
      </w:r>
      <w:r w:rsidRPr="00C42008">
        <w:rPr>
          <w:szCs w:val="24"/>
        </w:rPr>
        <w:t xml:space="preserve">Finally, the average credits attempted to </w:t>
      </w:r>
      <w:r w:rsidR="00BF1A64">
        <w:rPr>
          <w:szCs w:val="24"/>
        </w:rPr>
        <w:t>degree</w:t>
      </w:r>
      <w:r w:rsidRPr="00C42008">
        <w:rPr>
          <w:szCs w:val="24"/>
        </w:rPr>
        <w:t xml:space="preserve"> will be calculated for </w:t>
      </w:r>
      <w:r w:rsidR="00424CD6" w:rsidRPr="00C42008">
        <w:rPr>
          <w:szCs w:val="24"/>
        </w:rPr>
        <w:t>each of the sub-categories of graduates.</w:t>
      </w:r>
    </w:p>
    <w:p w:rsidR="006B7CFB" w:rsidRDefault="006B7CFB" w:rsidP="006B7CFB">
      <w:pPr>
        <w:rPr>
          <w:b/>
          <w:bCs/>
          <w:szCs w:val="24"/>
        </w:rPr>
      </w:pPr>
    </w:p>
    <w:p w:rsidR="006B7CFB" w:rsidRDefault="006B7CFB" w:rsidP="006B7CFB">
      <w:pPr>
        <w:rPr>
          <w:b/>
          <w:bCs/>
          <w:szCs w:val="24"/>
        </w:rPr>
      </w:pPr>
    </w:p>
    <w:p w:rsidR="003F6030" w:rsidRPr="006B7CFB" w:rsidRDefault="003F6030" w:rsidP="006B7CFB">
      <w:pPr>
        <w:pStyle w:val="DefaultText"/>
        <w:ind w:firstLine="0"/>
        <w:jc w:val="center"/>
        <w:rPr>
          <w:b/>
          <w:bCs/>
          <w:szCs w:val="24"/>
        </w:rPr>
      </w:pPr>
      <w:r w:rsidRPr="00C42008">
        <w:rPr>
          <w:b/>
          <w:bCs/>
          <w:szCs w:val="24"/>
        </w:rPr>
        <w:t xml:space="preserve">Part </w:t>
      </w:r>
      <w:r w:rsidR="00FB47DD" w:rsidRPr="00C42008">
        <w:rPr>
          <w:b/>
          <w:bCs/>
          <w:szCs w:val="24"/>
        </w:rPr>
        <w:t>4</w:t>
      </w:r>
    </w:p>
    <w:p w:rsidR="003F6030" w:rsidRPr="00C42008" w:rsidRDefault="003F6030" w:rsidP="006B7CFB">
      <w:pPr>
        <w:pStyle w:val="DefaultText"/>
        <w:ind w:firstLine="0"/>
        <w:jc w:val="center"/>
        <w:rPr>
          <w:b/>
          <w:bCs/>
          <w:szCs w:val="24"/>
        </w:rPr>
      </w:pPr>
      <w:r w:rsidRPr="00C42008">
        <w:rPr>
          <w:b/>
          <w:bCs/>
          <w:szCs w:val="24"/>
        </w:rPr>
        <w:t xml:space="preserve">Estimated Full Year Credit/Contact Hours and </w:t>
      </w:r>
      <w:r w:rsidR="008F6347" w:rsidRPr="00C42008">
        <w:rPr>
          <w:b/>
          <w:bCs/>
          <w:szCs w:val="24"/>
        </w:rPr>
        <w:t>Full-Time-Equivalent Enrollment</w:t>
      </w:r>
    </w:p>
    <w:p w:rsidR="003F6030" w:rsidRPr="00C42008" w:rsidRDefault="003F6030" w:rsidP="007C0191">
      <w:pPr>
        <w:pStyle w:val="Header"/>
        <w:ind w:firstLine="0"/>
        <w:jc w:val="center"/>
        <w:rPr>
          <w:szCs w:val="24"/>
        </w:rPr>
      </w:pPr>
    </w:p>
    <w:p w:rsidR="003F6030" w:rsidRPr="00FF6CA1" w:rsidRDefault="006D24C6" w:rsidP="000B535A">
      <w:pPr>
        <w:pStyle w:val="DefaultText"/>
        <w:spacing w:before="80"/>
        <w:ind w:firstLine="270"/>
        <w:rPr>
          <w:i/>
          <w:szCs w:val="24"/>
        </w:rPr>
      </w:pPr>
      <w:r w:rsidRPr="00C42008">
        <w:rPr>
          <w:b/>
          <w:szCs w:val="24"/>
          <w:u w:val="single"/>
        </w:rPr>
        <w:t xml:space="preserve">This part of the survey MUST be completed first </w:t>
      </w:r>
      <w:r w:rsidR="00777D0F" w:rsidRPr="00C42008">
        <w:rPr>
          <w:b/>
          <w:szCs w:val="24"/>
          <w:u w:val="single"/>
        </w:rPr>
        <w:t xml:space="preserve">(along with Part 1) </w:t>
      </w:r>
      <w:r w:rsidRPr="00C42008">
        <w:rPr>
          <w:b/>
          <w:szCs w:val="24"/>
          <w:u w:val="single"/>
        </w:rPr>
        <w:t>for two-year colleges and technical institutes or colleges</w:t>
      </w:r>
      <w:r w:rsidRPr="00C42008">
        <w:rPr>
          <w:szCs w:val="24"/>
        </w:rPr>
        <w:t xml:space="preserve"> to determine proper institution</w:t>
      </w:r>
      <w:r w:rsidR="00F41912" w:rsidRPr="00C42008">
        <w:rPr>
          <w:szCs w:val="24"/>
        </w:rPr>
        <w:t>al categories</w:t>
      </w:r>
      <w:r w:rsidRPr="00C42008">
        <w:rPr>
          <w:szCs w:val="24"/>
        </w:rPr>
        <w:t xml:space="preserve">. </w:t>
      </w:r>
      <w:r w:rsidR="003F6030" w:rsidRPr="00C42008">
        <w:rPr>
          <w:szCs w:val="24"/>
        </w:rPr>
        <w:t xml:space="preserve">Report all credit/contact hours which could count toward a degree or other award, regardless of whether or not the student is enrolled in a formal program, including credit/contact hours offered through extension centers so long as they meet the above condition. Law school credit hours are to be included in the graduate credit hour count. Also </w:t>
      </w:r>
      <w:r w:rsidR="003F6030" w:rsidRPr="00C42008">
        <w:rPr>
          <w:szCs w:val="24"/>
          <w:u w:val="single"/>
        </w:rPr>
        <w:t>include</w:t>
      </w:r>
      <w:r w:rsidR="003F6030" w:rsidRPr="00C42008">
        <w:rPr>
          <w:szCs w:val="24"/>
        </w:rPr>
        <w:t xml:space="preserve"> all credit/contact hours in remedial education, developmental education or continuing education</w:t>
      </w:r>
      <w:r w:rsidR="00936754" w:rsidRPr="00C42008">
        <w:rPr>
          <w:szCs w:val="24"/>
        </w:rPr>
        <w:t xml:space="preserve"> (correspondence, short-course and non-credit study CEU's, etc.)</w:t>
      </w:r>
      <w:r w:rsidR="003F6030" w:rsidRPr="00C42008">
        <w:rPr>
          <w:szCs w:val="24"/>
        </w:rPr>
        <w:t xml:space="preserve">, </w:t>
      </w:r>
      <w:r w:rsidR="003F6030" w:rsidRPr="00C42008">
        <w:rPr>
          <w:szCs w:val="24"/>
          <w:u w:val="single"/>
        </w:rPr>
        <w:t xml:space="preserve">if </w:t>
      </w:r>
      <w:r w:rsidR="00936754" w:rsidRPr="00C42008">
        <w:rPr>
          <w:szCs w:val="24"/>
          <w:u w:val="single"/>
        </w:rPr>
        <w:t xml:space="preserve">supported primarily by </w:t>
      </w:r>
      <w:r w:rsidR="003F6030" w:rsidRPr="00C42008">
        <w:rPr>
          <w:szCs w:val="24"/>
          <w:u w:val="single"/>
        </w:rPr>
        <w:t>state</w:t>
      </w:r>
      <w:r w:rsidR="00936754" w:rsidRPr="00C42008">
        <w:rPr>
          <w:szCs w:val="24"/>
          <w:u w:val="single"/>
        </w:rPr>
        <w:t>/</w:t>
      </w:r>
      <w:r w:rsidR="003F6030" w:rsidRPr="00C42008">
        <w:rPr>
          <w:szCs w:val="24"/>
          <w:u w:val="single"/>
        </w:rPr>
        <w:t xml:space="preserve">local funding </w:t>
      </w:r>
      <w:r w:rsidR="00C06085" w:rsidRPr="00C42008">
        <w:rPr>
          <w:szCs w:val="24"/>
          <w:u w:val="single"/>
        </w:rPr>
        <w:t xml:space="preserve">combined with </w:t>
      </w:r>
      <w:r w:rsidR="00936754" w:rsidRPr="00C42008">
        <w:rPr>
          <w:szCs w:val="24"/>
          <w:u w:val="single"/>
        </w:rPr>
        <w:t>tuition and fee</w:t>
      </w:r>
      <w:r w:rsidR="003F6030" w:rsidRPr="00C42008">
        <w:rPr>
          <w:szCs w:val="24"/>
          <w:u w:val="single"/>
        </w:rPr>
        <w:t>s</w:t>
      </w:r>
      <w:r w:rsidR="003F6030" w:rsidRPr="00C42008">
        <w:rPr>
          <w:szCs w:val="24"/>
        </w:rPr>
        <w:t>. Credit/contact hours should reflect enrollment at the close of the drop/add period or the state's official reporting date for each of the terms in calendar year 20</w:t>
      </w:r>
      <w:r w:rsidR="00FF6CA1">
        <w:rPr>
          <w:szCs w:val="24"/>
        </w:rPr>
        <w:t>10</w:t>
      </w:r>
      <w:r w:rsidR="003F6030" w:rsidRPr="00C42008">
        <w:rPr>
          <w:szCs w:val="24"/>
        </w:rPr>
        <w:t>.</w:t>
      </w:r>
      <w:r w:rsidR="00FF6CA1">
        <w:rPr>
          <w:szCs w:val="24"/>
        </w:rPr>
        <w:t xml:space="preserve"> (</w:t>
      </w:r>
      <w:r w:rsidR="007C6D4B" w:rsidRPr="00FF6CA1">
        <w:rPr>
          <w:i/>
          <w:szCs w:val="24"/>
        </w:rPr>
        <w:t xml:space="preserve">Please note your census dates in a </w:t>
      </w:r>
      <w:r w:rsidR="004E5567" w:rsidRPr="00FF6CA1">
        <w:rPr>
          <w:i/>
          <w:szCs w:val="24"/>
        </w:rPr>
        <w:t xml:space="preserve">cell </w:t>
      </w:r>
      <w:r w:rsidR="007C6D4B" w:rsidRPr="00FF6CA1">
        <w:rPr>
          <w:i/>
          <w:szCs w:val="24"/>
        </w:rPr>
        <w:t>comment</w:t>
      </w:r>
      <w:r w:rsidR="004E5567" w:rsidRPr="00FF6CA1">
        <w:rPr>
          <w:i/>
          <w:szCs w:val="24"/>
        </w:rPr>
        <w:t>.</w:t>
      </w:r>
      <w:r w:rsidR="00FF6CA1">
        <w:rPr>
          <w:i/>
          <w:szCs w:val="24"/>
        </w:rPr>
        <w:t>)</w:t>
      </w:r>
    </w:p>
    <w:p w:rsidR="003F6030" w:rsidRPr="00C42008" w:rsidRDefault="003F6030" w:rsidP="000B535A">
      <w:pPr>
        <w:pStyle w:val="DefaultText"/>
        <w:spacing w:before="80"/>
        <w:rPr>
          <w:szCs w:val="24"/>
        </w:rPr>
      </w:pPr>
      <w:r w:rsidRPr="00C42008">
        <w:rPr>
          <w:szCs w:val="24"/>
        </w:rPr>
        <w:t>Exclude those hours supported by state operating appropriations for health profession</w:t>
      </w:r>
      <w:r w:rsidR="004E5567" w:rsidRPr="00C42008">
        <w:rPr>
          <w:szCs w:val="24"/>
        </w:rPr>
        <w:t xml:space="preserve">s education as defined in Part </w:t>
      </w:r>
      <w:r w:rsidR="008F6347" w:rsidRPr="00C42008">
        <w:rPr>
          <w:szCs w:val="24"/>
        </w:rPr>
        <w:t>6</w:t>
      </w:r>
      <w:r w:rsidRPr="00C42008">
        <w:rPr>
          <w:szCs w:val="24"/>
        </w:rPr>
        <w:t xml:space="preserve">. Specifically, exclude: (a) credit hours of </w:t>
      </w:r>
      <w:proofErr w:type="gramStart"/>
      <w:r w:rsidRPr="00C42008">
        <w:rPr>
          <w:szCs w:val="24"/>
        </w:rPr>
        <w:t>Specialized</w:t>
      </w:r>
      <w:proofErr w:type="gramEnd"/>
      <w:r w:rsidRPr="00C42008">
        <w:rPr>
          <w:szCs w:val="24"/>
        </w:rPr>
        <w:t xml:space="preserve"> institutions; (b) credit hours of medical schools and all other health professions education, including dentistry, optometry, nursing, pharmacy, and allied health professions at all non-Specialized institutions that have medical schools; and (c) credit hours for schools of veterinary medicine.</w:t>
      </w:r>
    </w:p>
    <w:p w:rsidR="003F6030" w:rsidRPr="00C42008" w:rsidRDefault="00065CAA" w:rsidP="00086A2A">
      <w:pPr>
        <w:pStyle w:val="DefaultText"/>
        <w:spacing w:before="80"/>
        <w:ind w:right="-198"/>
        <w:rPr>
          <w:szCs w:val="24"/>
        </w:rPr>
      </w:pPr>
      <w:r w:rsidRPr="00C42008">
        <w:rPr>
          <w:szCs w:val="24"/>
        </w:rPr>
        <w:lastRenderedPageBreak/>
        <w:t>C</w:t>
      </w:r>
      <w:r w:rsidR="003F6030" w:rsidRPr="00C42008">
        <w:rPr>
          <w:szCs w:val="24"/>
        </w:rPr>
        <w:t>redit/contact hour data are collected to be the basis for computing estimated annual full-time-equivalent (</w:t>
      </w:r>
      <w:smartTag w:uri="urn:schemas-microsoft-com:office:smarttags" w:element="stockticker">
        <w:r w:rsidR="003F6030" w:rsidRPr="00C42008">
          <w:rPr>
            <w:szCs w:val="24"/>
          </w:rPr>
          <w:t>FTE</w:t>
        </w:r>
      </w:smartTag>
      <w:r w:rsidR="003F6030" w:rsidRPr="00C42008">
        <w:rPr>
          <w:szCs w:val="24"/>
        </w:rPr>
        <w:t xml:space="preserve">) enrollment for </w:t>
      </w:r>
      <w:r w:rsidR="00E40B6A" w:rsidRPr="00C42008">
        <w:rPr>
          <w:szCs w:val="24"/>
        </w:rPr>
        <w:t>20</w:t>
      </w:r>
      <w:r w:rsidR="00FF6CA1">
        <w:rPr>
          <w:szCs w:val="24"/>
        </w:rPr>
        <w:t>1</w:t>
      </w:r>
      <w:r w:rsidR="0039387E">
        <w:rPr>
          <w:szCs w:val="24"/>
        </w:rPr>
        <w:t>1</w:t>
      </w:r>
      <w:r w:rsidR="00715EF9" w:rsidRPr="00C42008">
        <w:rPr>
          <w:szCs w:val="24"/>
        </w:rPr>
        <w:t>-</w:t>
      </w:r>
      <w:r w:rsidR="00E2266A" w:rsidRPr="00C42008">
        <w:rPr>
          <w:szCs w:val="24"/>
        </w:rPr>
        <w:t>1</w:t>
      </w:r>
      <w:r w:rsidR="0039387E">
        <w:rPr>
          <w:szCs w:val="24"/>
        </w:rPr>
        <w:t>2</w:t>
      </w:r>
      <w:r w:rsidR="003F6030" w:rsidRPr="00C42008">
        <w:rPr>
          <w:szCs w:val="24"/>
        </w:rPr>
        <w:t xml:space="preserve">. The </w:t>
      </w:r>
      <w:smartTag w:uri="urn:schemas-microsoft-com:office:smarttags" w:element="stockticker">
        <w:r w:rsidR="003F6030" w:rsidRPr="00C42008">
          <w:rPr>
            <w:szCs w:val="24"/>
          </w:rPr>
          <w:t>FTE</w:t>
        </w:r>
      </w:smartTag>
      <w:r w:rsidR="003F6030" w:rsidRPr="00C42008">
        <w:rPr>
          <w:szCs w:val="24"/>
        </w:rPr>
        <w:t xml:space="preserve"> will go with the appropriate </w:t>
      </w:r>
      <w:r w:rsidR="00E40B6A" w:rsidRPr="00C42008">
        <w:rPr>
          <w:szCs w:val="24"/>
        </w:rPr>
        <w:t>20</w:t>
      </w:r>
      <w:r w:rsidR="00FF6CA1">
        <w:rPr>
          <w:szCs w:val="24"/>
        </w:rPr>
        <w:t>1</w:t>
      </w:r>
      <w:r w:rsidR="0039387E">
        <w:rPr>
          <w:szCs w:val="24"/>
        </w:rPr>
        <w:t>1</w:t>
      </w:r>
      <w:r w:rsidR="00715EF9" w:rsidRPr="00C42008">
        <w:rPr>
          <w:szCs w:val="24"/>
        </w:rPr>
        <w:t>-</w:t>
      </w:r>
      <w:r w:rsidR="00E2266A" w:rsidRPr="00C42008">
        <w:rPr>
          <w:szCs w:val="24"/>
        </w:rPr>
        <w:t>1</w:t>
      </w:r>
      <w:r w:rsidR="0039387E">
        <w:rPr>
          <w:szCs w:val="24"/>
        </w:rPr>
        <w:t>2</w:t>
      </w:r>
      <w:r w:rsidR="003F6030" w:rsidRPr="00C42008">
        <w:rPr>
          <w:szCs w:val="24"/>
        </w:rPr>
        <w:t xml:space="preserve"> funding data collected in Part </w:t>
      </w:r>
      <w:r w:rsidR="00FF6CA1">
        <w:rPr>
          <w:szCs w:val="24"/>
        </w:rPr>
        <w:t>6</w:t>
      </w:r>
      <w:r w:rsidR="003F6030" w:rsidRPr="00C42008">
        <w:rPr>
          <w:szCs w:val="24"/>
        </w:rPr>
        <w:t xml:space="preserve"> to compute funding per </w:t>
      </w:r>
      <w:smartTag w:uri="urn:schemas-microsoft-com:office:smarttags" w:element="stockticker">
        <w:r w:rsidR="003F6030" w:rsidRPr="00C42008">
          <w:rPr>
            <w:szCs w:val="24"/>
          </w:rPr>
          <w:t>FTE</w:t>
        </w:r>
      </w:smartTag>
      <w:r w:rsidR="003F6030" w:rsidRPr="00C42008">
        <w:rPr>
          <w:szCs w:val="24"/>
        </w:rPr>
        <w:t xml:space="preserve">. In order to have a report </w:t>
      </w:r>
      <w:r w:rsidR="00FF6CA1">
        <w:rPr>
          <w:szCs w:val="24"/>
        </w:rPr>
        <w:t>as early as possible</w:t>
      </w:r>
      <w:r w:rsidR="003F6030" w:rsidRPr="00C42008">
        <w:rPr>
          <w:szCs w:val="24"/>
        </w:rPr>
        <w:t xml:space="preserve">, an estimating procedure </w:t>
      </w:r>
      <w:r w:rsidR="00F41912" w:rsidRPr="00C42008">
        <w:rPr>
          <w:szCs w:val="24"/>
        </w:rPr>
        <w:t>is used</w:t>
      </w:r>
      <w:r w:rsidR="003F6030" w:rsidRPr="00C42008">
        <w:rPr>
          <w:szCs w:val="24"/>
        </w:rPr>
        <w:t xml:space="preserve"> to arrive at </w:t>
      </w:r>
      <w:r w:rsidR="00E40B6A" w:rsidRPr="00C42008">
        <w:rPr>
          <w:szCs w:val="24"/>
        </w:rPr>
        <w:t>20</w:t>
      </w:r>
      <w:r w:rsidR="00FF6CA1">
        <w:rPr>
          <w:szCs w:val="24"/>
        </w:rPr>
        <w:t>1</w:t>
      </w:r>
      <w:r w:rsidR="0039387E">
        <w:rPr>
          <w:szCs w:val="24"/>
        </w:rPr>
        <w:t>1</w:t>
      </w:r>
      <w:r w:rsidR="00715EF9" w:rsidRPr="00C42008">
        <w:rPr>
          <w:szCs w:val="24"/>
        </w:rPr>
        <w:t>-</w:t>
      </w:r>
      <w:r w:rsidR="00E2266A" w:rsidRPr="00C42008">
        <w:rPr>
          <w:szCs w:val="24"/>
        </w:rPr>
        <w:t>1</w:t>
      </w:r>
      <w:r w:rsidR="0039387E">
        <w:rPr>
          <w:szCs w:val="24"/>
        </w:rPr>
        <w:t>2</w:t>
      </w:r>
      <w:r w:rsidR="003F6030" w:rsidRPr="00C42008">
        <w:rPr>
          <w:szCs w:val="24"/>
        </w:rPr>
        <w:t xml:space="preserve"> annual </w:t>
      </w:r>
      <w:smartTag w:uri="urn:schemas-microsoft-com:office:smarttags" w:element="stockticker">
        <w:r w:rsidR="003F6030" w:rsidRPr="00C42008">
          <w:rPr>
            <w:szCs w:val="24"/>
          </w:rPr>
          <w:t>FTE</w:t>
        </w:r>
      </w:smartTag>
      <w:r w:rsidR="003F6030" w:rsidRPr="00C42008">
        <w:rPr>
          <w:szCs w:val="24"/>
        </w:rPr>
        <w:t xml:space="preserve">. Please enter data for all of the following terms that are applicable: Winter </w:t>
      </w:r>
      <w:r w:rsidR="00461783" w:rsidRPr="00C42008">
        <w:rPr>
          <w:szCs w:val="24"/>
        </w:rPr>
        <w:t>20</w:t>
      </w:r>
      <w:r w:rsidR="00FF6CA1">
        <w:rPr>
          <w:szCs w:val="24"/>
        </w:rPr>
        <w:t>1</w:t>
      </w:r>
      <w:r w:rsidR="0039387E">
        <w:rPr>
          <w:szCs w:val="24"/>
        </w:rPr>
        <w:t>1</w:t>
      </w:r>
      <w:r w:rsidR="003F6030" w:rsidRPr="00C42008">
        <w:rPr>
          <w:szCs w:val="24"/>
        </w:rPr>
        <w:t xml:space="preserve">, </w:t>
      </w:r>
      <w:proofErr w:type="gramStart"/>
      <w:r w:rsidR="003F6030" w:rsidRPr="00C42008">
        <w:rPr>
          <w:szCs w:val="24"/>
        </w:rPr>
        <w:t>Spring</w:t>
      </w:r>
      <w:proofErr w:type="gramEnd"/>
      <w:r w:rsidR="003F6030" w:rsidRPr="00C42008">
        <w:rPr>
          <w:szCs w:val="24"/>
        </w:rPr>
        <w:t xml:space="preserve"> </w:t>
      </w:r>
      <w:r w:rsidR="00461783" w:rsidRPr="00C42008">
        <w:rPr>
          <w:szCs w:val="24"/>
        </w:rPr>
        <w:t>20</w:t>
      </w:r>
      <w:r w:rsidR="00FF6CA1">
        <w:rPr>
          <w:szCs w:val="24"/>
        </w:rPr>
        <w:t>1</w:t>
      </w:r>
      <w:r w:rsidR="0039387E">
        <w:rPr>
          <w:szCs w:val="24"/>
        </w:rPr>
        <w:t>1</w:t>
      </w:r>
      <w:r w:rsidR="003F6030" w:rsidRPr="00C42008">
        <w:rPr>
          <w:szCs w:val="24"/>
        </w:rPr>
        <w:t xml:space="preserve">, Summer </w:t>
      </w:r>
      <w:r w:rsidR="00461783" w:rsidRPr="00C42008">
        <w:rPr>
          <w:szCs w:val="24"/>
        </w:rPr>
        <w:t>20</w:t>
      </w:r>
      <w:r w:rsidR="00FF6CA1">
        <w:rPr>
          <w:szCs w:val="24"/>
        </w:rPr>
        <w:t>1</w:t>
      </w:r>
      <w:r w:rsidR="0039387E">
        <w:rPr>
          <w:szCs w:val="24"/>
        </w:rPr>
        <w:t>1</w:t>
      </w:r>
      <w:r w:rsidR="003F6030" w:rsidRPr="00C42008">
        <w:rPr>
          <w:szCs w:val="24"/>
        </w:rPr>
        <w:t xml:space="preserve">, and Fall </w:t>
      </w:r>
      <w:r w:rsidR="00461783" w:rsidRPr="00C42008">
        <w:rPr>
          <w:szCs w:val="24"/>
        </w:rPr>
        <w:t>20</w:t>
      </w:r>
      <w:r w:rsidR="00FF6CA1">
        <w:rPr>
          <w:szCs w:val="24"/>
        </w:rPr>
        <w:t>1</w:t>
      </w:r>
      <w:r w:rsidR="0039387E">
        <w:rPr>
          <w:szCs w:val="24"/>
        </w:rPr>
        <w:t>1</w:t>
      </w:r>
      <w:r w:rsidR="003F6030" w:rsidRPr="00C42008">
        <w:rPr>
          <w:szCs w:val="24"/>
        </w:rPr>
        <w:t>. (Those states that include two half</w:t>
      </w:r>
      <w:r w:rsidR="00F41912" w:rsidRPr="00C42008">
        <w:rPr>
          <w:szCs w:val="24"/>
        </w:rPr>
        <w:t xml:space="preserve"> </w:t>
      </w:r>
      <w:r w:rsidR="003F6030" w:rsidRPr="00C42008">
        <w:rPr>
          <w:szCs w:val="24"/>
        </w:rPr>
        <w:t>summer terms in their fiscal year should combine the app</w:t>
      </w:r>
      <w:r w:rsidR="00715EF9" w:rsidRPr="00C42008">
        <w:rPr>
          <w:szCs w:val="24"/>
        </w:rPr>
        <w:t xml:space="preserve">ropriate two half terms in the </w:t>
      </w:r>
      <w:proofErr w:type="gramStart"/>
      <w:r w:rsidR="00715EF9" w:rsidRPr="00C42008">
        <w:rPr>
          <w:szCs w:val="24"/>
        </w:rPr>
        <w:t>S</w:t>
      </w:r>
      <w:r w:rsidR="003F6030" w:rsidRPr="00C42008">
        <w:rPr>
          <w:szCs w:val="24"/>
        </w:rPr>
        <w:t>ummer</w:t>
      </w:r>
      <w:proofErr w:type="gramEnd"/>
      <w:r w:rsidR="003F6030" w:rsidRPr="00C42008">
        <w:rPr>
          <w:szCs w:val="24"/>
        </w:rPr>
        <w:t xml:space="preserve"> </w:t>
      </w:r>
      <w:r w:rsidR="00461783" w:rsidRPr="00C42008">
        <w:rPr>
          <w:szCs w:val="24"/>
        </w:rPr>
        <w:t>20</w:t>
      </w:r>
      <w:r w:rsidR="00FF6CA1">
        <w:rPr>
          <w:szCs w:val="24"/>
        </w:rPr>
        <w:t>1</w:t>
      </w:r>
      <w:r w:rsidR="0039387E">
        <w:rPr>
          <w:szCs w:val="24"/>
        </w:rPr>
        <w:t>1</w:t>
      </w:r>
      <w:r w:rsidR="00FE71BF" w:rsidRPr="00C42008">
        <w:rPr>
          <w:szCs w:val="24"/>
        </w:rPr>
        <w:t xml:space="preserve"> </w:t>
      </w:r>
      <w:r w:rsidR="003F6030" w:rsidRPr="00C42008">
        <w:rPr>
          <w:szCs w:val="24"/>
        </w:rPr>
        <w:t>column.)</w:t>
      </w:r>
    </w:p>
    <w:p w:rsidR="004E3ABC" w:rsidRPr="00C42008" w:rsidRDefault="004E3ABC" w:rsidP="00086A2A">
      <w:pPr>
        <w:pStyle w:val="DefaultText"/>
        <w:spacing w:before="80"/>
        <w:ind w:right="-198"/>
        <w:rPr>
          <w:szCs w:val="24"/>
        </w:rPr>
      </w:pPr>
      <w:r w:rsidRPr="00C42008">
        <w:rPr>
          <w:szCs w:val="24"/>
        </w:rPr>
        <w:t xml:space="preserve">For undergraduate credit/contact hours only, </w:t>
      </w:r>
      <w:r w:rsidRPr="00C42008">
        <w:rPr>
          <w:szCs w:val="24"/>
          <w:u w:val="single"/>
        </w:rPr>
        <w:t>on an annual basis</w:t>
      </w:r>
      <w:r w:rsidRPr="00C42008">
        <w:rPr>
          <w:szCs w:val="24"/>
        </w:rPr>
        <w:t xml:space="preserve">, enter the number of hours </w:t>
      </w:r>
      <w:r w:rsidR="000A3767" w:rsidRPr="00C42008">
        <w:rPr>
          <w:szCs w:val="24"/>
        </w:rPr>
        <w:t xml:space="preserve">from the sum of the columns already filled in </w:t>
      </w:r>
      <w:r w:rsidR="00E57D7A" w:rsidRPr="00C42008">
        <w:rPr>
          <w:szCs w:val="24"/>
        </w:rPr>
        <w:t xml:space="preserve">taken </w:t>
      </w:r>
      <w:r w:rsidRPr="00C42008">
        <w:rPr>
          <w:szCs w:val="24"/>
        </w:rPr>
        <w:t>by students still enrolled in high school (dual enrollment, joint enrollment, early college, etc.).</w:t>
      </w:r>
    </w:p>
    <w:p w:rsidR="003F6030" w:rsidRPr="00C42008" w:rsidRDefault="003F6030" w:rsidP="000B535A">
      <w:pPr>
        <w:pStyle w:val="DefaultText"/>
        <w:spacing w:before="80"/>
        <w:rPr>
          <w:szCs w:val="24"/>
        </w:rPr>
      </w:pPr>
      <w:r w:rsidRPr="00C42008">
        <w:rPr>
          <w:szCs w:val="24"/>
        </w:rPr>
        <w:t>Non-duplicative counting of student activity is requested. For example, if one student ta</w:t>
      </w:r>
      <w:r w:rsidR="007C0191" w:rsidRPr="00C42008">
        <w:rPr>
          <w:szCs w:val="24"/>
        </w:rPr>
        <w:t xml:space="preserve">king one course contributes three </w:t>
      </w:r>
      <w:r w:rsidRPr="00C42008">
        <w:rPr>
          <w:szCs w:val="24"/>
        </w:rPr>
        <w:t>credit hours to the credit hour count</w:t>
      </w:r>
      <w:r w:rsidR="0027633A" w:rsidRPr="00C42008">
        <w:rPr>
          <w:szCs w:val="24"/>
        </w:rPr>
        <w:t>,</w:t>
      </w:r>
      <w:r w:rsidRPr="00C42008">
        <w:rPr>
          <w:szCs w:val="24"/>
        </w:rPr>
        <w:t xml:space="preserve"> that student's activity in that class should contribute nothing to the contact hour count (</w:t>
      </w:r>
      <w:r w:rsidRPr="00C42008">
        <w:rPr>
          <w:i/>
          <w:szCs w:val="24"/>
        </w:rPr>
        <w:t>or vice versa</w:t>
      </w:r>
      <w:r w:rsidRPr="00C42008">
        <w:rPr>
          <w:szCs w:val="24"/>
        </w:rPr>
        <w:t>).</w:t>
      </w:r>
    </w:p>
    <w:p w:rsidR="008F543C" w:rsidRPr="00C42008" w:rsidRDefault="003F6030" w:rsidP="000B535A">
      <w:pPr>
        <w:pStyle w:val="DefaultText"/>
        <w:spacing w:before="80"/>
        <w:rPr>
          <w:szCs w:val="24"/>
        </w:rPr>
      </w:pPr>
      <w:smartTag w:uri="urn:schemas-microsoft-com:office:smarttags" w:element="stockticker">
        <w:r w:rsidRPr="00C42008">
          <w:rPr>
            <w:szCs w:val="24"/>
          </w:rPr>
          <w:t>FTE</w:t>
        </w:r>
      </w:smartTag>
      <w:r w:rsidRPr="00C42008">
        <w:rPr>
          <w:szCs w:val="24"/>
        </w:rPr>
        <w:t xml:space="preserve"> enrollment will be calculated for the credit/contact hour data. Estimated annual undergraduate credit hours for semester systems will be divided by 30 to derive undergraduate credit-hour </w:t>
      </w:r>
      <w:smartTag w:uri="urn:schemas-microsoft-com:office:smarttags" w:element="stockticker">
        <w:r w:rsidRPr="00C42008">
          <w:rPr>
            <w:szCs w:val="24"/>
          </w:rPr>
          <w:t>FTE</w:t>
        </w:r>
      </w:smartTag>
      <w:r w:rsidR="00103412" w:rsidRPr="00C42008">
        <w:rPr>
          <w:szCs w:val="24"/>
        </w:rPr>
        <w:t xml:space="preserve">; </w:t>
      </w:r>
      <w:r w:rsidRPr="00C42008">
        <w:rPr>
          <w:szCs w:val="24"/>
        </w:rPr>
        <w:t xml:space="preserve">for quarter systems </w:t>
      </w:r>
      <w:r w:rsidR="00103412" w:rsidRPr="00C42008">
        <w:rPr>
          <w:szCs w:val="24"/>
        </w:rPr>
        <w:t xml:space="preserve">they </w:t>
      </w:r>
      <w:r w:rsidRPr="00C42008">
        <w:rPr>
          <w:szCs w:val="24"/>
        </w:rPr>
        <w:t>will be divided by 45</w:t>
      </w:r>
      <w:r w:rsidR="00103412" w:rsidRPr="00C42008">
        <w:rPr>
          <w:szCs w:val="24"/>
        </w:rPr>
        <w:t>.</w:t>
      </w:r>
      <w:r w:rsidRPr="00C42008">
        <w:rPr>
          <w:szCs w:val="24"/>
        </w:rPr>
        <w:t xml:space="preserve"> Estimated annual graduate credit hours for semester systems will be divided by 24 to derive graduate credit-hour </w:t>
      </w:r>
      <w:smartTag w:uri="urn:schemas-microsoft-com:office:smarttags" w:element="stockticker">
        <w:r w:rsidRPr="00C42008">
          <w:rPr>
            <w:szCs w:val="24"/>
          </w:rPr>
          <w:t>FTE</w:t>
        </w:r>
      </w:smartTag>
      <w:r w:rsidR="00103412" w:rsidRPr="00C42008">
        <w:rPr>
          <w:szCs w:val="24"/>
        </w:rPr>
        <w:t xml:space="preserve">; </w:t>
      </w:r>
      <w:r w:rsidRPr="00C42008">
        <w:rPr>
          <w:szCs w:val="24"/>
        </w:rPr>
        <w:t xml:space="preserve">for quarter systems </w:t>
      </w:r>
      <w:r w:rsidR="00103412" w:rsidRPr="00C42008">
        <w:rPr>
          <w:szCs w:val="24"/>
        </w:rPr>
        <w:t xml:space="preserve">they </w:t>
      </w:r>
      <w:r w:rsidRPr="00C42008">
        <w:rPr>
          <w:szCs w:val="24"/>
        </w:rPr>
        <w:t xml:space="preserve">will be divided by 36. Estimated annual contact hours will be divided by 900 to derive undergraduate contact-hour </w:t>
      </w:r>
      <w:smartTag w:uri="urn:schemas-microsoft-com:office:smarttags" w:element="stockticker">
        <w:r w:rsidRPr="00C42008">
          <w:rPr>
            <w:szCs w:val="24"/>
          </w:rPr>
          <w:t>FTE</w:t>
        </w:r>
      </w:smartTag>
      <w:r w:rsidRPr="00C42008">
        <w:rPr>
          <w:szCs w:val="24"/>
        </w:rPr>
        <w:t>.</w:t>
      </w:r>
      <w:r w:rsidR="008F543C" w:rsidRPr="00C42008">
        <w:rPr>
          <w:szCs w:val="24"/>
        </w:rPr>
        <w:t xml:space="preserve"> </w:t>
      </w:r>
      <w:smartTag w:uri="urn:schemas-microsoft-com:office:smarttags" w:element="stockticker">
        <w:r w:rsidR="008F543C" w:rsidRPr="00C42008">
          <w:rPr>
            <w:szCs w:val="24"/>
          </w:rPr>
          <w:t>FTE</w:t>
        </w:r>
      </w:smartTag>
      <w:r w:rsidR="008F543C" w:rsidRPr="00C42008">
        <w:rPr>
          <w:szCs w:val="24"/>
        </w:rPr>
        <w:t xml:space="preserve"> comparisons for institutions categorized as Specialized are not requested or reported.</w:t>
      </w:r>
    </w:p>
    <w:p w:rsidR="007705B9" w:rsidRPr="00AF5FDE" w:rsidRDefault="007705B9" w:rsidP="007705B9">
      <w:pPr>
        <w:pStyle w:val="Heading5"/>
        <w:ind w:firstLine="288"/>
        <w:rPr>
          <w:rFonts w:ascii="Times New Roman" w:eastAsia="Times New Roman" w:hAnsi="Times New Roman" w:cs="Times New Roman"/>
          <w:color w:val="auto"/>
          <w:sz w:val="24"/>
          <w:szCs w:val="24"/>
        </w:rPr>
      </w:pPr>
      <w:r>
        <w:rPr>
          <w:rFonts w:ascii="Times New Roman" w:hAnsi="Times New Roman" w:cs="Times New Roman"/>
          <w:color w:val="auto"/>
          <w:sz w:val="24"/>
          <w:szCs w:val="24"/>
        </w:rPr>
        <w:t>Note: The Data Exchange adheres to the IPEDS definition of “c</w:t>
      </w:r>
      <w:r w:rsidRPr="00AF5FDE">
        <w:rPr>
          <w:rFonts w:ascii="Times New Roman" w:hAnsi="Times New Roman" w:cs="Times New Roman"/>
          <w:color w:val="auto"/>
          <w:sz w:val="24"/>
          <w:szCs w:val="24"/>
        </w:rPr>
        <w:t xml:space="preserve">redit </w:t>
      </w:r>
      <w:r>
        <w:rPr>
          <w:rFonts w:ascii="Times New Roman" w:hAnsi="Times New Roman" w:cs="Times New Roman"/>
          <w:color w:val="auto"/>
          <w:sz w:val="24"/>
          <w:szCs w:val="24"/>
        </w:rPr>
        <w:t>h</w:t>
      </w:r>
      <w:r w:rsidRPr="00AF5FDE">
        <w:rPr>
          <w:rFonts w:ascii="Times New Roman" w:hAnsi="Times New Roman" w:cs="Times New Roman"/>
          <w:color w:val="auto"/>
          <w:sz w:val="24"/>
          <w:szCs w:val="24"/>
        </w:rPr>
        <w:t>our</w:t>
      </w:r>
      <w:r>
        <w:rPr>
          <w:rFonts w:ascii="Times New Roman" w:hAnsi="Times New Roman" w:cs="Times New Roman"/>
          <w:color w:val="auto"/>
          <w:sz w:val="24"/>
          <w:szCs w:val="24"/>
        </w:rPr>
        <w:t>” (a</w:t>
      </w:r>
      <w:r w:rsidRPr="00AF5FDE">
        <w:rPr>
          <w:rFonts w:ascii="Times New Roman" w:eastAsia="Times New Roman" w:hAnsi="Times New Roman" w:cs="Times New Roman"/>
          <w:color w:val="auto"/>
          <w:sz w:val="24"/>
          <w:szCs w:val="24"/>
        </w:rPr>
        <w:t xml:space="preserve"> unit of measure representing the equivalent of an hour (50 minutes) of </w:t>
      </w:r>
      <w:hyperlink r:id="rId8" w:history="1">
        <w:r w:rsidRPr="00AF5FDE">
          <w:rPr>
            <w:rFonts w:ascii="Times New Roman" w:eastAsia="Times New Roman" w:hAnsi="Times New Roman" w:cs="Times New Roman"/>
            <w:color w:val="auto"/>
            <w:sz w:val="24"/>
            <w:szCs w:val="24"/>
          </w:rPr>
          <w:t>instruction</w:t>
        </w:r>
      </w:hyperlink>
      <w:r w:rsidRPr="00AF5FDE">
        <w:rPr>
          <w:rFonts w:ascii="Times New Roman" w:eastAsia="Times New Roman" w:hAnsi="Times New Roman" w:cs="Times New Roman"/>
          <w:color w:val="auto"/>
          <w:sz w:val="24"/>
          <w:szCs w:val="24"/>
        </w:rPr>
        <w:t xml:space="preserve"> per week over the entire term</w:t>
      </w:r>
      <w:r>
        <w:rPr>
          <w:rFonts w:ascii="Times New Roman" w:eastAsia="Times New Roman" w:hAnsi="Times New Roman" w:cs="Times New Roman"/>
          <w:color w:val="auto"/>
          <w:sz w:val="24"/>
          <w:szCs w:val="24"/>
        </w:rPr>
        <w:t xml:space="preserve"> that can be</w:t>
      </w:r>
      <w:r w:rsidRPr="00AF5FDE">
        <w:rPr>
          <w:rFonts w:ascii="Times New Roman" w:eastAsia="Times New Roman" w:hAnsi="Times New Roman" w:cs="Times New Roman"/>
          <w:color w:val="auto"/>
          <w:sz w:val="24"/>
          <w:szCs w:val="24"/>
        </w:rPr>
        <w:t xml:space="preserve"> applied toward the total number of </w:t>
      </w:r>
      <w:hyperlink r:id="rId9" w:history="1">
        <w:r w:rsidRPr="00AF5FDE">
          <w:rPr>
            <w:rFonts w:ascii="Times New Roman" w:eastAsia="Times New Roman" w:hAnsi="Times New Roman" w:cs="Times New Roman"/>
            <w:color w:val="auto"/>
            <w:sz w:val="24"/>
            <w:szCs w:val="24"/>
          </w:rPr>
          <w:t>credit</w:t>
        </w:r>
      </w:hyperlink>
      <w:r w:rsidRPr="00AF5FDE">
        <w:rPr>
          <w:rFonts w:ascii="Times New Roman" w:eastAsia="Times New Roman" w:hAnsi="Times New Roman" w:cs="Times New Roman"/>
          <w:color w:val="auto"/>
          <w:sz w:val="24"/>
          <w:szCs w:val="24"/>
        </w:rPr>
        <w:t xml:space="preserve"> hours needed for completing the requirements of a </w:t>
      </w:r>
      <w:hyperlink r:id="rId10" w:history="1">
        <w:r w:rsidRPr="00AF5FDE">
          <w:rPr>
            <w:rFonts w:ascii="Times New Roman" w:eastAsia="Times New Roman" w:hAnsi="Times New Roman" w:cs="Times New Roman"/>
            <w:color w:val="auto"/>
            <w:sz w:val="24"/>
            <w:szCs w:val="24"/>
          </w:rPr>
          <w:t>degree</w:t>
        </w:r>
      </w:hyperlink>
      <w:r w:rsidRPr="00AF5FDE">
        <w:rPr>
          <w:rFonts w:ascii="Times New Roman" w:eastAsia="Times New Roman" w:hAnsi="Times New Roman" w:cs="Times New Roman"/>
          <w:color w:val="auto"/>
          <w:sz w:val="24"/>
          <w:szCs w:val="24"/>
        </w:rPr>
        <w:t xml:space="preserve">, </w:t>
      </w:r>
      <w:hyperlink r:id="rId11" w:history="1">
        <w:r w:rsidRPr="00AF5FDE">
          <w:rPr>
            <w:rFonts w:ascii="Times New Roman" w:eastAsia="Times New Roman" w:hAnsi="Times New Roman" w:cs="Times New Roman"/>
            <w:color w:val="auto"/>
            <w:sz w:val="24"/>
            <w:szCs w:val="24"/>
          </w:rPr>
          <w:t>diploma</w:t>
        </w:r>
      </w:hyperlink>
      <w:r w:rsidRPr="00AF5FDE">
        <w:rPr>
          <w:rFonts w:ascii="Times New Roman" w:eastAsia="Times New Roman" w:hAnsi="Times New Roman" w:cs="Times New Roman"/>
          <w:color w:val="auto"/>
          <w:sz w:val="24"/>
          <w:szCs w:val="24"/>
        </w:rPr>
        <w:t xml:space="preserve">, </w:t>
      </w:r>
      <w:hyperlink r:id="rId12" w:history="1">
        <w:r w:rsidRPr="00AF5FDE">
          <w:rPr>
            <w:rFonts w:ascii="Times New Roman" w:eastAsia="Times New Roman" w:hAnsi="Times New Roman" w:cs="Times New Roman"/>
            <w:color w:val="auto"/>
            <w:sz w:val="24"/>
            <w:szCs w:val="24"/>
          </w:rPr>
          <w:t>certificate</w:t>
        </w:r>
      </w:hyperlink>
      <w:r w:rsidRPr="00AF5FDE">
        <w:rPr>
          <w:rFonts w:ascii="Times New Roman" w:eastAsia="Times New Roman" w:hAnsi="Times New Roman" w:cs="Times New Roman"/>
          <w:color w:val="auto"/>
          <w:sz w:val="24"/>
          <w:szCs w:val="24"/>
        </w:rPr>
        <w:t>, or other formal award</w:t>
      </w:r>
      <w:r>
        <w:rPr>
          <w:rFonts w:ascii="Times New Roman" w:eastAsia="Times New Roman" w:hAnsi="Times New Roman" w:cs="Times New Roman"/>
          <w:color w:val="auto"/>
          <w:sz w:val="24"/>
          <w:szCs w:val="24"/>
        </w:rPr>
        <w:t>) and “co</w:t>
      </w:r>
      <w:r w:rsidRPr="00AF5FDE">
        <w:rPr>
          <w:rFonts w:ascii="Times New Roman" w:eastAsia="Times New Roman" w:hAnsi="Times New Roman" w:cs="Times New Roman"/>
          <w:color w:val="auto"/>
          <w:sz w:val="24"/>
          <w:szCs w:val="24"/>
        </w:rPr>
        <w:t xml:space="preserve">ntact </w:t>
      </w:r>
      <w:r>
        <w:rPr>
          <w:rFonts w:ascii="Times New Roman" w:eastAsia="Times New Roman" w:hAnsi="Times New Roman" w:cs="Times New Roman"/>
          <w:color w:val="auto"/>
          <w:sz w:val="24"/>
          <w:szCs w:val="24"/>
        </w:rPr>
        <w:t>h</w:t>
      </w:r>
      <w:r w:rsidRPr="00AF5FDE">
        <w:rPr>
          <w:rFonts w:ascii="Times New Roman" w:eastAsia="Times New Roman" w:hAnsi="Times New Roman" w:cs="Times New Roman"/>
          <w:color w:val="auto"/>
          <w:sz w:val="24"/>
          <w:szCs w:val="24"/>
        </w:rPr>
        <w:t>our</w:t>
      </w:r>
      <w:r>
        <w:rPr>
          <w:rFonts w:ascii="Times New Roman" w:eastAsia="Times New Roman" w:hAnsi="Times New Roman" w:cs="Times New Roman"/>
          <w:color w:val="auto"/>
          <w:sz w:val="24"/>
          <w:szCs w:val="24"/>
        </w:rPr>
        <w:t>”</w:t>
      </w:r>
      <w:r w:rsidRPr="00AF5FD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(a</w:t>
      </w:r>
      <w:r w:rsidRPr="00AF5FDE">
        <w:rPr>
          <w:rFonts w:ascii="Times New Roman" w:eastAsia="Times New Roman" w:hAnsi="Times New Roman" w:cs="Times New Roman"/>
          <w:color w:val="auto"/>
          <w:sz w:val="24"/>
          <w:szCs w:val="24"/>
        </w:rPr>
        <w:t xml:space="preserve"> unit of measure that represents an hour of scheduled </w:t>
      </w:r>
      <w:hyperlink r:id="rId13" w:history="1">
        <w:r w:rsidRPr="00AF5FDE">
          <w:rPr>
            <w:rFonts w:ascii="Times New Roman" w:eastAsia="Times New Roman" w:hAnsi="Times New Roman" w:cs="Times New Roman"/>
            <w:color w:val="auto"/>
            <w:sz w:val="24"/>
            <w:szCs w:val="24"/>
          </w:rPr>
          <w:t>instruction</w:t>
        </w:r>
      </w:hyperlink>
      <w:r w:rsidRPr="00AF5FDE">
        <w:rPr>
          <w:rFonts w:ascii="Times New Roman" w:eastAsia="Times New Roman" w:hAnsi="Times New Roman" w:cs="Times New Roman"/>
          <w:color w:val="auto"/>
          <w:sz w:val="24"/>
          <w:szCs w:val="24"/>
        </w:rPr>
        <w:t xml:space="preserve"> given to students</w:t>
      </w:r>
      <w:r>
        <w:rPr>
          <w:rFonts w:ascii="Times New Roman" w:eastAsia="Times New Roman" w:hAnsi="Times New Roman" w:cs="Times New Roman"/>
          <w:color w:val="auto"/>
          <w:sz w:val="24"/>
          <w:szCs w:val="24"/>
        </w:rPr>
        <w:t xml:space="preserve"> </w:t>
      </w:r>
      <w:r w:rsidRPr="007705B9">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Pr="00AF5FD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sometimes </w:t>
      </w:r>
      <w:r w:rsidRPr="00AF5FDE">
        <w:rPr>
          <w:rFonts w:ascii="Times New Roman" w:eastAsia="Times New Roman" w:hAnsi="Times New Roman" w:cs="Times New Roman"/>
          <w:color w:val="auto"/>
          <w:sz w:val="24"/>
          <w:szCs w:val="24"/>
        </w:rPr>
        <w:t xml:space="preserve">referred to as </w:t>
      </w:r>
      <w:hyperlink r:id="rId14" w:history="1">
        <w:r w:rsidRPr="00AF5FDE">
          <w:rPr>
            <w:rFonts w:ascii="Times New Roman" w:eastAsia="Times New Roman" w:hAnsi="Times New Roman" w:cs="Times New Roman"/>
            <w:color w:val="auto"/>
            <w:sz w:val="24"/>
            <w:szCs w:val="24"/>
          </w:rPr>
          <w:t>clock hour</w:t>
        </w:r>
      </w:hyperlink>
      <w:r>
        <w:rPr>
          <w:rFonts w:ascii="Times New Roman" w:eastAsia="Times New Roman" w:hAnsi="Times New Roman" w:cs="Times New Roman"/>
          <w:color w:val="auto"/>
          <w:sz w:val="24"/>
          <w:szCs w:val="24"/>
        </w:rPr>
        <w:t>s</w:t>
      </w:r>
      <w:r w:rsidRPr="00AF5FDE">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p>
    <w:p w:rsidR="00F55A3B" w:rsidRDefault="00F55A3B">
      <w:pPr>
        <w:rPr>
          <w:sz w:val="24"/>
          <w:szCs w:val="24"/>
        </w:rPr>
      </w:pPr>
    </w:p>
    <w:p w:rsidR="007705B9" w:rsidRDefault="007705B9">
      <w:pPr>
        <w:rPr>
          <w:sz w:val="24"/>
          <w:szCs w:val="24"/>
        </w:rPr>
      </w:pPr>
    </w:p>
    <w:p w:rsidR="0089302C" w:rsidRPr="00C42008" w:rsidRDefault="0089302C" w:rsidP="00036612">
      <w:pPr>
        <w:pStyle w:val="Header"/>
        <w:ind w:firstLine="0"/>
        <w:jc w:val="center"/>
        <w:outlineLvl w:val="0"/>
        <w:rPr>
          <w:b/>
          <w:bCs/>
          <w:szCs w:val="24"/>
        </w:rPr>
      </w:pPr>
      <w:r w:rsidRPr="00C42008">
        <w:rPr>
          <w:b/>
          <w:bCs/>
          <w:szCs w:val="24"/>
        </w:rPr>
        <w:t xml:space="preserve">Part </w:t>
      </w:r>
      <w:r w:rsidR="00FB47DD" w:rsidRPr="00C42008">
        <w:rPr>
          <w:b/>
          <w:bCs/>
          <w:szCs w:val="24"/>
        </w:rPr>
        <w:t>5</w:t>
      </w:r>
    </w:p>
    <w:p w:rsidR="0089302C" w:rsidRPr="00C42008" w:rsidRDefault="0089302C" w:rsidP="00036612">
      <w:pPr>
        <w:pStyle w:val="Header"/>
        <w:ind w:firstLine="0"/>
        <w:jc w:val="center"/>
        <w:outlineLvl w:val="0"/>
        <w:rPr>
          <w:b/>
          <w:bCs/>
          <w:szCs w:val="24"/>
        </w:rPr>
      </w:pPr>
      <w:r w:rsidRPr="00C42008">
        <w:rPr>
          <w:b/>
          <w:bCs/>
          <w:szCs w:val="24"/>
        </w:rPr>
        <w:t>Student Credit</w:t>
      </w:r>
      <w:r w:rsidR="00D577E9" w:rsidRPr="00C42008">
        <w:rPr>
          <w:b/>
          <w:bCs/>
          <w:szCs w:val="24"/>
        </w:rPr>
        <w:t>/Contact</w:t>
      </w:r>
      <w:r w:rsidRPr="00C42008">
        <w:rPr>
          <w:b/>
          <w:bCs/>
          <w:szCs w:val="24"/>
        </w:rPr>
        <w:t xml:space="preserve"> Hours </w:t>
      </w:r>
      <w:r w:rsidR="0065217A" w:rsidRPr="00C42008">
        <w:rPr>
          <w:b/>
          <w:bCs/>
          <w:szCs w:val="24"/>
        </w:rPr>
        <w:t>by Type of Instruction</w:t>
      </w:r>
    </w:p>
    <w:p w:rsidR="0089302C" w:rsidRPr="00C42008" w:rsidRDefault="0089302C" w:rsidP="0089302C">
      <w:pPr>
        <w:pStyle w:val="Header"/>
        <w:jc w:val="center"/>
        <w:outlineLvl w:val="0"/>
        <w:rPr>
          <w:szCs w:val="24"/>
        </w:rPr>
      </w:pPr>
    </w:p>
    <w:p w:rsidR="00772CA2" w:rsidRPr="0039387E" w:rsidRDefault="00772CA2" w:rsidP="0039387E">
      <w:pPr>
        <w:pStyle w:val="DefaultText"/>
        <w:spacing w:before="80"/>
        <w:rPr>
          <w:szCs w:val="24"/>
        </w:rPr>
      </w:pPr>
      <w:r w:rsidRPr="0039387E">
        <w:rPr>
          <w:szCs w:val="24"/>
        </w:rPr>
        <w:t>Credit/Contact hours are considered e-learning when technology is the primary mode of instruction for the course: when more than 50 percent of the course content is delivered electronically. This 50-percent-rule matches a criterion used for the inclusion of courses in the SREB’s Electronic Campus and SACS definition of what they call non face-to-face (distance) education. If your state uses some rule other than the 50-percent rule, please note it in a comment on the sheet.</w:t>
      </w:r>
    </w:p>
    <w:p w:rsidR="0039387E" w:rsidRPr="00C42008" w:rsidRDefault="0039387E" w:rsidP="0039387E">
      <w:pPr>
        <w:pStyle w:val="DefaultText"/>
        <w:spacing w:before="80"/>
        <w:rPr>
          <w:szCs w:val="24"/>
        </w:rPr>
      </w:pPr>
      <w:r w:rsidRPr="00C42008">
        <w:rPr>
          <w:szCs w:val="24"/>
        </w:rPr>
        <w:t>The subsidiary columns in Part 5 should add up to the undergraduate and graduate credit/contact hour totals reported in Part 4.</w:t>
      </w:r>
    </w:p>
    <w:p w:rsidR="00772CA2" w:rsidRPr="0039387E" w:rsidRDefault="00772CA2" w:rsidP="0039387E">
      <w:pPr>
        <w:pStyle w:val="DefaultText"/>
        <w:spacing w:before="80"/>
        <w:rPr>
          <w:szCs w:val="24"/>
        </w:rPr>
      </w:pPr>
      <w:r w:rsidRPr="0039387E">
        <w:rPr>
          <w:szCs w:val="24"/>
        </w:rPr>
        <w:t>Report credit/contact hours generated in a calendar year through traditional instruction (i.e. significant site attendance is required and less than 50 percent of the course is delivered electronically). Separately report those generated on-campus and those generated off the main campus.</w:t>
      </w:r>
    </w:p>
    <w:p w:rsidR="00772CA2" w:rsidRPr="00C42008" w:rsidRDefault="00772CA2" w:rsidP="0039387E">
      <w:pPr>
        <w:pStyle w:val="DefaultText"/>
        <w:spacing w:before="80"/>
        <w:rPr>
          <w:szCs w:val="24"/>
        </w:rPr>
      </w:pPr>
      <w:r w:rsidRPr="0039387E">
        <w:rPr>
          <w:szCs w:val="24"/>
        </w:rPr>
        <w:t>Report credit/contact hours generated through e-learning (i.e.no significant site attendance is required and more than 50 percent of the course is delivered electronically). Three categories for reporting e-learning credit/contact hours are provided: (1) courses delivered over the Internet (Web delivery); (2) courses delivered through special facilities for site-to-site two-way audio-video (compressed video); and (3) courses delivered via satellite, cable TV, broadcast TV/radio, closed-circuit, video tape, CD ROMS, DVDs, e-mail, etc.</w:t>
      </w:r>
      <w:r w:rsidRPr="00C42008">
        <w:rPr>
          <w:szCs w:val="24"/>
        </w:rPr>
        <w:t xml:space="preserve"> </w:t>
      </w:r>
    </w:p>
    <w:p w:rsidR="0039387E" w:rsidRPr="00C42008" w:rsidRDefault="0039387E" w:rsidP="0039387E">
      <w:pPr>
        <w:pStyle w:val="DefaultText"/>
        <w:spacing w:before="80"/>
        <w:rPr>
          <w:szCs w:val="24"/>
        </w:rPr>
      </w:pPr>
      <w:r w:rsidRPr="00C42008">
        <w:rPr>
          <w:szCs w:val="24"/>
        </w:rPr>
        <w:t>If applicable, report credit/contact hours generated through correspondence courses (courses without any significant site attendance where less than 50 percent of the course is delivered electronically).</w:t>
      </w:r>
    </w:p>
    <w:p w:rsidR="0039387E" w:rsidRPr="00C42008" w:rsidRDefault="0039387E" w:rsidP="0039387E">
      <w:pPr>
        <w:pStyle w:val="DefaultText"/>
        <w:spacing w:before="80"/>
        <w:rPr>
          <w:szCs w:val="24"/>
        </w:rPr>
      </w:pPr>
      <w:r w:rsidRPr="00C42008">
        <w:rPr>
          <w:szCs w:val="24"/>
        </w:rPr>
        <w:lastRenderedPageBreak/>
        <w:t>To make the types of instruction report more complete, please</w:t>
      </w:r>
      <w:r w:rsidRPr="00C42008">
        <w:rPr>
          <w:szCs w:val="24"/>
          <w:u w:val="single"/>
        </w:rPr>
        <w:t xml:space="preserve"> report </w:t>
      </w:r>
      <w:r w:rsidRPr="00C42008">
        <w:rPr>
          <w:szCs w:val="24"/>
        </w:rPr>
        <w:t>the credit hours by type of instruction</w:t>
      </w:r>
      <w:r w:rsidRPr="00C42008">
        <w:rPr>
          <w:szCs w:val="24"/>
          <w:u w:val="single"/>
        </w:rPr>
        <w:t xml:space="preserve"> for non-health professions Specialized institutions </w:t>
      </w:r>
      <w:r w:rsidRPr="00C42008">
        <w:rPr>
          <w:szCs w:val="24"/>
        </w:rPr>
        <w:t>even though their credit hours are not reported in Part 4 (for example, University of Maryland University College).</w:t>
      </w:r>
    </w:p>
    <w:p w:rsidR="007B258B" w:rsidRDefault="007B258B" w:rsidP="007C0191">
      <w:pPr>
        <w:pStyle w:val="Header"/>
        <w:ind w:firstLine="0"/>
        <w:jc w:val="center"/>
        <w:outlineLvl w:val="0"/>
        <w:rPr>
          <w:szCs w:val="24"/>
        </w:rPr>
      </w:pPr>
    </w:p>
    <w:p w:rsidR="0039387E" w:rsidRDefault="0039387E" w:rsidP="007C0191">
      <w:pPr>
        <w:pStyle w:val="Header"/>
        <w:ind w:firstLine="0"/>
        <w:jc w:val="center"/>
        <w:outlineLvl w:val="0"/>
        <w:rPr>
          <w:szCs w:val="24"/>
        </w:rPr>
      </w:pPr>
    </w:p>
    <w:p w:rsidR="003F6030" w:rsidRPr="00C42008" w:rsidRDefault="003F6030" w:rsidP="007C0191">
      <w:pPr>
        <w:pStyle w:val="Header"/>
        <w:ind w:firstLine="0"/>
        <w:jc w:val="center"/>
        <w:outlineLvl w:val="0"/>
        <w:rPr>
          <w:b/>
          <w:bCs/>
          <w:szCs w:val="24"/>
        </w:rPr>
      </w:pPr>
      <w:r w:rsidRPr="00C42008">
        <w:rPr>
          <w:b/>
          <w:bCs/>
          <w:szCs w:val="24"/>
        </w:rPr>
        <w:t xml:space="preserve">Part </w:t>
      </w:r>
      <w:r w:rsidR="00FB47DD" w:rsidRPr="00C42008">
        <w:rPr>
          <w:b/>
          <w:bCs/>
          <w:szCs w:val="24"/>
        </w:rPr>
        <w:t>6</w:t>
      </w:r>
    </w:p>
    <w:p w:rsidR="003F6030" w:rsidRPr="00C42008" w:rsidRDefault="00C339FD" w:rsidP="007C0191">
      <w:pPr>
        <w:pStyle w:val="Header"/>
        <w:ind w:firstLine="0"/>
        <w:jc w:val="center"/>
        <w:rPr>
          <w:b/>
          <w:bCs/>
          <w:szCs w:val="24"/>
        </w:rPr>
      </w:pPr>
      <w:r w:rsidRPr="00C42008">
        <w:rPr>
          <w:b/>
          <w:bCs/>
          <w:szCs w:val="24"/>
        </w:rPr>
        <w:t xml:space="preserve">State/Local </w:t>
      </w:r>
      <w:r w:rsidR="003F6030" w:rsidRPr="00C42008">
        <w:rPr>
          <w:b/>
          <w:bCs/>
          <w:szCs w:val="24"/>
        </w:rPr>
        <w:t>F</w:t>
      </w:r>
      <w:r w:rsidR="00402237" w:rsidRPr="00C42008">
        <w:rPr>
          <w:b/>
          <w:bCs/>
          <w:szCs w:val="24"/>
        </w:rPr>
        <w:t>und</w:t>
      </w:r>
      <w:r w:rsidR="00E133DB" w:rsidRPr="00C42008">
        <w:rPr>
          <w:b/>
          <w:bCs/>
          <w:szCs w:val="24"/>
        </w:rPr>
        <w:t>ing</w:t>
      </w:r>
      <w:r w:rsidR="00402237" w:rsidRPr="00C42008">
        <w:rPr>
          <w:b/>
          <w:bCs/>
          <w:szCs w:val="24"/>
        </w:rPr>
        <w:t xml:space="preserve"> </w:t>
      </w:r>
      <w:r w:rsidR="008B6B92" w:rsidRPr="00C42008">
        <w:rPr>
          <w:b/>
          <w:bCs/>
          <w:szCs w:val="24"/>
        </w:rPr>
        <w:t>and Tuition</w:t>
      </w:r>
      <w:r w:rsidRPr="00C42008">
        <w:rPr>
          <w:b/>
          <w:bCs/>
          <w:szCs w:val="24"/>
        </w:rPr>
        <w:t>/F</w:t>
      </w:r>
      <w:r w:rsidR="008B6B92" w:rsidRPr="00C42008">
        <w:rPr>
          <w:b/>
          <w:bCs/>
          <w:szCs w:val="24"/>
        </w:rPr>
        <w:t>ees Revenues</w:t>
      </w:r>
      <w:r w:rsidRPr="00C42008">
        <w:rPr>
          <w:b/>
          <w:bCs/>
          <w:szCs w:val="24"/>
        </w:rPr>
        <w:t xml:space="preserve"> </w:t>
      </w:r>
      <w:r w:rsidR="00584DF4" w:rsidRPr="00C42008">
        <w:rPr>
          <w:b/>
          <w:bCs/>
          <w:szCs w:val="24"/>
        </w:rPr>
        <w:br/>
      </w:r>
      <w:r w:rsidRPr="00C42008">
        <w:rPr>
          <w:b/>
          <w:bCs/>
          <w:szCs w:val="24"/>
        </w:rPr>
        <w:t>for Operating Expenses</w:t>
      </w:r>
    </w:p>
    <w:p w:rsidR="00E133DB" w:rsidRPr="00C42008" w:rsidRDefault="00E133DB">
      <w:pPr>
        <w:pStyle w:val="DefaultText"/>
        <w:rPr>
          <w:szCs w:val="24"/>
        </w:rPr>
      </w:pPr>
      <w:bookmarkStart w:id="1" w:name="OLE_LINK1"/>
    </w:p>
    <w:bookmarkEnd w:id="1"/>
    <w:p w:rsidR="003F6030" w:rsidRPr="00FF6CA1" w:rsidRDefault="00C339FD" w:rsidP="00616D22">
      <w:pPr>
        <w:pStyle w:val="DefaultText"/>
        <w:rPr>
          <w:szCs w:val="24"/>
          <w:u w:val="single"/>
        </w:rPr>
      </w:pPr>
      <w:r w:rsidRPr="00C42008">
        <w:rPr>
          <w:szCs w:val="24"/>
        </w:rPr>
        <w:t xml:space="preserve">The </w:t>
      </w:r>
      <w:r w:rsidR="003F6030" w:rsidRPr="00C42008">
        <w:rPr>
          <w:szCs w:val="24"/>
        </w:rPr>
        <w:t>fund</w:t>
      </w:r>
      <w:r w:rsidRPr="00C42008">
        <w:rPr>
          <w:szCs w:val="24"/>
        </w:rPr>
        <w:t>ing report</w:t>
      </w:r>
      <w:r w:rsidR="003F6030" w:rsidRPr="00C42008">
        <w:rPr>
          <w:szCs w:val="24"/>
        </w:rPr>
        <w:t xml:space="preserve"> </w:t>
      </w:r>
      <w:r w:rsidRPr="00C42008">
        <w:rPr>
          <w:szCs w:val="24"/>
        </w:rPr>
        <w:t xml:space="preserve">includes </w:t>
      </w:r>
      <w:r w:rsidR="003F6030" w:rsidRPr="00C42008">
        <w:rPr>
          <w:szCs w:val="24"/>
        </w:rPr>
        <w:t xml:space="preserve">state and local tax revenues </w:t>
      </w:r>
      <w:r w:rsidR="00C405B0" w:rsidRPr="00C42008">
        <w:rPr>
          <w:szCs w:val="24"/>
        </w:rPr>
        <w:t>appropriated</w:t>
      </w:r>
      <w:r w:rsidR="003F6030" w:rsidRPr="00C42008">
        <w:rPr>
          <w:szCs w:val="24"/>
        </w:rPr>
        <w:t xml:space="preserve"> to colleges and universities </w:t>
      </w:r>
      <w:r w:rsidRPr="00C42008">
        <w:rPr>
          <w:szCs w:val="24"/>
        </w:rPr>
        <w:t xml:space="preserve">and </w:t>
      </w:r>
      <w:r w:rsidR="003F6030" w:rsidRPr="00C42008">
        <w:rPr>
          <w:szCs w:val="24"/>
        </w:rPr>
        <w:t>for other higher education-related operating expenses, other funds such as earnings from state-funded endowment</w:t>
      </w:r>
      <w:r w:rsidR="00402237" w:rsidRPr="00C42008">
        <w:rPr>
          <w:szCs w:val="24"/>
        </w:rPr>
        <w:t xml:space="preserve">s used for operating purposes, </w:t>
      </w:r>
      <w:r w:rsidR="003F6030" w:rsidRPr="00C42008">
        <w:rPr>
          <w:szCs w:val="24"/>
        </w:rPr>
        <w:t>earmarked revenues such as from lotteries used for operating purposes</w:t>
      </w:r>
      <w:r w:rsidR="00194814" w:rsidRPr="00C42008">
        <w:rPr>
          <w:szCs w:val="24"/>
        </w:rPr>
        <w:t xml:space="preserve">, </w:t>
      </w:r>
      <w:r w:rsidR="00764541" w:rsidRPr="00C42008">
        <w:rPr>
          <w:szCs w:val="24"/>
        </w:rPr>
        <w:t>so-called “educational enhancement funds”</w:t>
      </w:r>
      <w:r w:rsidR="00194814" w:rsidRPr="00C42008">
        <w:rPr>
          <w:szCs w:val="24"/>
        </w:rPr>
        <w:t xml:space="preserve"> and t</w:t>
      </w:r>
      <w:r w:rsidR="003F6030" w:rsidRPr="00C42008">
        <w:rPr>
          <w:szCs w:val="24"/>
        </w:rPr>
        <w:t>uition and fees revenue</w:t>
      </w:r>
      <w:r w:rsidR="008B6B92" w:rsidRPr="00C42008">
        <w:rPr>
          <w:szCs w:val="24"/>
        </w:rPr>
        <w:t>s</w:t>
      </w:r>
      <w:r w:rsidR="00194814" w:rsidRPr="00C42008">
        <w:rPr>
          <w:szCs w:val="24"/>
        </w:rPr>
        <w:t>.</w:t>
      </w:r>
      <w:r w:rsidR="00EB37C7" w:rsidRPr="00C42008">
        <w:rPr>
          <w:szCs w:val="24"/>
        </w:rPr>
        <w:t xml:space="preserve"> Those tuition and fee revenues mandated or used for debt service, and thus not available to support operating expenses, are identified separately.</w:t>
      </w:r>
      <w:r w:rsidR="008D2F1D">
        <w:rPr>
          <w:szCs w:val="24"/>
        </w:rPr>
        <w:t xml:space="preserve"> </w:t>
      </w:r>
      <w:r w:rsidR="008D2F1D" w:rsidRPr="00FF6CA1">
        <w:rPr>
          <w:szCs w:val="24"/>
          <w:u w:val="single"/>
        </w:rPr>
        <w:t xml:space="preserve">Federal “pass through” funds, such as ARRA stabilization funds are not included. State </w:t>
      </w:r>
      <w:r w:rsidR="00F87881" w:rsidRPr="00FF6CA1">
        <w:rPr>
          <w:szCs w:val="24"/>
          <w:u w:val="single"/>
        </w:rPr>
        <w:t>“</w:t>
      </w:r>
      <w:r w:rsidR="008D2F1D" w:rsidRPr="00FF6CA1">
        <w:rPr>
          <w:szCs w:val="24"/>
          <w:u w:val="single"/>
        </w:rPr>
        <w:t>Maintenance of Effort</w:t>
      </w:r>
      <w:r w:rsidR="00F87881" w:rsidRPr="00FF6CA1">
        <w:rPr>
          <w:szCs w:val="24"/>
          <w:u w:val="single"/>
        </w:rPr>
        <w:t>”</w:t>
      </w:r>
      <w:r w:rsidR="008D2F1D" w:rsidRPr="00FF6CA1">
        <w:rPr>
          <w:szCs w:val="24"/>
          <w:u w:val="single"/>
        </w:rPr>
        <w:t xml:space="preserve"> (MOE) funds, however, are to be included.</w:t>
      </w:r>
    </w:p>
    <w:p w:rsidR="00E719EA" w:rsidRPr="00C42008" w:rsidRDefault="00E719EA" w:rsidP="00E719EA">
      <w:pPr>
        <w:pStyle w:val="DefaultText"/>
        <w:rPr>
          <w:szCs w:val="24"/>
        </w:rPr>
      </w:pPr>
    </w:p>
    <w:p w:rsidR="003F6030" w:rsidRPr="00C42008" w:rsidRDefault="003F6030">
      <w:pPr>
        <w:pStyle w:val="DefaultText"/>
        <w:rPr>
          <w:szCs w:val="24"/>
        </w:rPr>
      </w:pPr>
      <w:r w:rsidRPr="00C42008">
        <w:rPr>
          <w:szCs w:val="24"/>
        </w:rPr>
        <w:t xml:space="preserve">State </w:t>
      </w:r>
      <w:r w:rsidR="008E3E05" w:rsidRPr="00C42008">
        <w:rPr>
          <w:szCs w:val="24"/>
        </w:rPr>
        <w:t xml:space="preserve">general </w:t>
      </w:r>
      <w:r w:rsidRPr="00C42008">
        <w:rPr>
          <w:szCs w:val="24"/>
        </w:rPr>
        <w:t xml:space="preserve">operating appropriations </w:t>
      </w:r>
      <w:r w:rsidR="008E3E05" w:rsidRPr="00C42008">
        <w:rPr>
          <w:szCs w:val="24"/>
        </w:rPr>
        <w:t xml:space="preserve">(appropriations </w:t>
      </w:r>
      <w:r w:rsidRPr="00C42008">
        <w:rPr>
          <w:szCs w:val="24"/>
        </w:rPr>
        <w:t>for common institutional purposes</w:t>
      </w:r>
      <w:r w:rsidR="008E3E05" w:rsidRPr="00C42008">
        <w:rPr>
          <w:szCs w:val="24"/>
        </w:rPr>
        <w:t>)</w:t>
      </w:r>
      <w:r w:rsidRPr="00C42008">
        <w:rPr>
          <w:szCs w:val="24"/>
        </w:rPr>
        <w:t xml:space="preserve"> </w:t>
      </w:r>
      <w:r w:rsidRPr="00C42008">
        <w:rPr>
          <w:szCs w:val="24"/>
          <w:u w:val="single"/>
        </w:rPr>
        <w:t>include</w:t>
      </w:r>
      <w:r w:rsidRPr="00C42008">
        <w:rPr>
          <w:szCs w:val="24"/>
        </w:rPr>
        <w:t xml:space="preserve">: (a) appropriations for faculty and staff </w:t>
      </w:r>
      <w:r w:rsidR="008E3E05" w:rsidRPr="00C42008">
        <w:rPr>
          <w:szCs w:val="24"/>
        </w:rPr>
        <w:t xml:space="preserve">salaries and </w:t>
      </w:r>
      <w:r w:rsidRPr="00C42008">
        <w:rPr>
          <w:szCs w:val="24"/>
        </w:rPr>
        <w:t xml:space="preserve">benefits, even if they are not part of an institution's direct appropriations; and (b) appropriations which support intercollegiate athletics, if such funds could legally be used to support instruction, research, or public service. They </w:t>
      </w:r>
      <w:r w:rsidRPr="00C42008">
        <w:rPr>
          <w:szCs w:val="24"/>
          <w:u w:val="single"/>
        </w:rPr>
        <w:t>exclude</w:t>
      </w:r>
      <w:r w:rsidRPr="00C42008">
        <w:rPr>
          <w:szCs w:val="24"/>
        </w:rPr>
        <w:t xml:space="preserve">: (a) state health professions education operating appropriations as defined below; (b) all capital outlays including debt service; (c) tax subsidies to institutions or their students; and (d) re-appropriated tuition and fees. </w:t>
      </w:r>
      <w:r w:rsidRPr="00C42008">
        <w:rPr>
          <w:szCs w:val="24"/>
          <w:u w:val="single"/>
        </w:rPr>
        <w:t>Also included</w:t>
      </w:r>
      <w:r w:rsidRPr="00C42008">
        <w:rPr>
          <w:szCs w:val="24"/>
        </w:rPr>
        <w:t xml:space="preserve"> are state-generated revenues allocated to colleges and universities such as earnings from state-funded endowments used for operating purposes, ear-marked revenues such as from lotteries used for operating purposes and education enhancement funds.</w:t>
      </w:r>
    </w:p>
    <w:p w:rsidR="00E719EA" w:rsidRPr="00C42008" w:rsidRDefault="00E719EA" w:rsidP="00E719EA">
      <w:pPr>
        <w:pStyle w:val="DefaultText"/>
        <w:rPr>
          <w:szCs w:val="24"/>
        </w:rPr>
      </w:pPr>
    </w:p>
    <w:p w:rsidR="003F6030" w:rsidRPr="00C42008" w:rsidRDefault="003F6030">
      <w:pPr>
        <w:pStyle w:val="DefaultText"/>
        <w:rPr>
          <w:szCs w:val="24"/>
        </w:rPr>
      </w:pPr>
      <w:r w:rsidRPr="00C42008">
        <w:rPr>
          <w:szCs w:val="24"/>
        </w:rPr>
        <w:t>Local government operating appropriations include appropriations to two-year institutions by local governments that complement or supplement state general-purpose appropriations.</w:t>
      </w:r>
      <w:r w:rsidR="00764541" w:rsidRPr="00C42008">
        <w:rPr>
          <w:szCs w:val="24"/>
        </w:rPr>
        <w:t xml:space="preserve"> </w:t>
      </w:r>
      <w:r w:rsidRPr="00C42008">
        <w:rPr>
          <w:szCs w:val="24"/>
        </w:rPr>
        <w:t>Exclude local appropriations for capital outlay and debt service.</w:t>
      </w:r>
    </w:p>
    <w:p w:rsidR="00E719EA" w:rsidRPr="00C42008" w:rsidRDefault="00E719EA" w:rsidP="00E719EA">
      <w:pPr>
        <w:pStyle w:val="DefaultText"/>
        <w:rPr>
          <w:szCs w:val="24"/>
        </w:rPr>
      </w:pPr>
    </w:p>
    <w:p w:rsidR="003F6030" w:rsidRDefault="008D2F1D">
      <w:pPr>
        <w:pStyle w:val="DefaultText"/>
        <w:rPr>
          <w:szCs w:val="24"/>
        </w:rPr>
      </w:pPr>
      <w:r w:rsidRPr="00C42008">
        <w:rPr>
          <w:szCs w:val="24"/>
        </w:rPr>
        <w:t>Operat</w:t>
      </w:r>
      <w:r>
        <w:rPr>
          <w:szCs w:val="24"/>
        </w:rPr>
        <w:t xml:space="preserve">ing funds </w:t>
      </w:r>
      <w:r w:rsidR="003F6030" w:rsidRPr="00C42008">
        <w:rPr>
          <w:szCs w:val="24"/>
        </w:rPr>
        <w:t xml:space="preserve">are considered general-purpose or educational special-purpose if they support </w:t>
      </w:r>
      <w:r w:rsidR="00764541" w:rsidRPr="00C42008">
        <w:rPr>
          <w:szCs w:val="24"/>
        </w:rPr>
        <w:t xml:space="preserve">the educational and general (E&amp;G) </w:t>
      </w:r>
      <w:r>
        <w:rPr>
          <w:szCs w:val="24"/>
        </w:rPr>
        <w:t xml:space="preserve">or “core” </w:t>
      </w:r>
      <w:r w:rsidR="00764541" w:rsidRPr="00C42008">
        <w:rPr>
          <w:szCs w:val="24"/>
        </w:rPr>
        <w:t>operations of campuses</w:t>
      </w:r>
      <w:r w:rsidR="003F6030" w:rsidRPr="00C42008">
        <w:rPr>
          <w:szCs w:val="24"/>
        </w:rPr>
        <w:t xml:space="preserve">. State educational special-purpose operating appropriations are appropriations to campuses or statewide </w:t>
      </w:r>
      <w:r w:rsidR="00764541" w:rsidRPr="00C42008">
        <w:rPr>
          <w:szCs w:val="24"/>
        </w:rPr>
        <w:t xml:space="preserve">units </w:t>
      </w:r>
      <w:r w:rsidR="003F6030" w:rsidRPr="00C42008">
        <w:rPr>
          <w:szCs w:val="24"/>
        </w:rPr>
        <w:t xml:space="preserve">for: community or public service units; non-credit continuing education; agricultural cooperative extension; agricultural experiment stations; engineering experiment stations; research centers/institutes; and </w:t>
      </w:r>
      <w:r w:rsidR="003F6030" w:rsidRPr="00C27E26">
        <w:rPr>
          <w:szCs w:val="24"/>
        </w:rPr>
        <w:t xml:space="preserve">all other </w:t>
      </w:r>
      <w:r w:rsidR="00726104" w:rsidRPr="00C27E26">
        <w:rPr>
          <w:szCs w:val="24"/>
        </w:rPr>
        <w:t xml:space="preserve">special line items for E&amp;G </w:t>
      </w:r>
      <w:r w:rsidRPr="00C27E26">
        <w:rPr>
          <w:szCs w:val="24"/>
        </w:rPr>
        <w:t xml:space="preserve">or “core” </w:t>
      </w:r>
      <w:r w:rsidR="00726104" w:rsidRPr="00C27E26">
        <w:rPr>
          <w:szCs w:val="24"/>
        </w:rPr>
        <w:t xml:space="preserve">operations </w:t>
      </w:r>
      <w:r w:rsidR="00726104" w:rsidRPr="00C27E26">
        <w:rPr>
          <w:szCs w:val="24"/>
          <w:u w:val="single"/>
        </w:rPr>
        <w:t>whether recurring or not</w:t>
      </w:r>
      <w:r w:rsidR="00726104" w:rsidRPr="00C27E26">
        <w:rPr>
          <w:szCs w:val="24"/>
        </w:rPr>
        <w:t xml:space="preserve">. </w:t>
      </w:r>
      <w:r w:rsidR="003F6030" w:rsidRPr="00C27E26">
        <w:rPr>
          <w:szCs w:val="24"/>
        </w:rPr>
        <w:t>Items are to be identified b</w:t>
      </w:r>
      <w:r w:rsidR="003F6030" w:rsidRPr="00C42008">
        <w:rPr>
          <w:szCs w:val="24"/>
        </w:rPr>
        <w:t>y campus wherever possible. Include funds that are appropriated di</w:t>
      </w:r>
      <w:r w:rsidR="00402237" w:rsidRPr="00C42008">
        <w:rPr>
          <w:szCs w:val="24"/>
        </w:rPr>
        <w:t xml:space="preserve">rectly to the institutions or </w:t>
      </w:r>
      <w:r>
        <w:rPr>
          <w:szCs w:val="24"/>
        </w:rPr>
        <w:t xml:space="preserve">state and local </w:t>
      </w:r>
      <w:r w:rsidR="003F6030" w:rsidRPr="00C42008">
        <w:rPr>
          <w:szCs w:val="24"/>
        </w:rPr>
        <w:t>pass through funds that are held at the state level for future allocation to the institutions.</w:t>
      </w:r>
      <w:r w:rsidR="008F543C" w:rsidRPr="00C42008">
        <w:rPr>
          <w:szCs w:val="24"/>
        </w:rPr>
        <w:t xml:space="preserve"> Funding for law and agriculture programs and extension at Land Grant universities are to be reported with the affiliated Land Grant </w:t>
      </w:r>
      <w:r w:rsidR="002244EB" w:rsidRPr="00C42008">
        <w:rPr>
          <w:szCs w:val="24"/>
        </w:rPr>
        <w:t>University</w:t>
      </w:r>
      <w:r w:rsidR="00712B8F" w:rsidRPr="00C42008">
        <w:rPr>
          <w:szCs w:val="24"/>
        </w:rPr>
        <w:t xml:space="preserve"> even if administered independently.</w:t>
      </w:r>
    </w:p>
    <w:p w:rsidR="00A60085" w:rsidRPr="00C42008" w:rsidRDefault="00A60085">
      <w:pPr>
        <w:pStyle w:val="DefaultText"/>
        <w:rPr>
          <w:szCs w:val="24"/>
        </w:rPr>
      </w:pPr>
    </w:p>
    <w:p w:rsidR="003F6030" w:rsidRDefault="003F6030" w:rsidP="007705B9">
      <w:pPr>
        <w:pStyle w:val="DefaultText"/>
        <w:spacing w:after="120"/>
        <w:rPr>
          <w:szCs w:val="24"/>
        </w:rPr>
      </w:pPr>
      <w:r w:rsidRPr="00C42008">
        <w:rPr>
          <w:szCs w:val="24"/>
        </w:rPr>
        <w:t>Other special-purpose operating appropriations not for educational purposes include the following</w:t>
      </w:r>
      <w:r w:rsidR="00402237" w:rsidRPr="00C42008">
        <w:rPr>
          <w:szCs w:val="24"/>
        </w:rPr>
        <w:t xml:space="preserve"> categories of higher education </w:t>
      </w:r>
      <w:r w:rsidRPr="00C42008">
        <w:rPr>
          <w:szCs w:val="24"/>
        </w:rPr>
        <w:t xml:space="preserve">related operations: </w:t>
      </w:r>
      <w:r w:rsidR="008F543C" w:rsidRPr="00C42008">
        <w:rPr>
          <w:szCs w:val="24"/>
        </w:rPr>
        <w:t>non</w:t>
      </w:r>
      <w:r w:rsidR="00E06DFF" w:rsidRPr="00C42008">
        <w:rPr>
          <w:szCs w:val="24"/>
        </w:rPr>
        <w:t>-</w:t>
      </w:r>
      <w:r w:rsidR="008F543C" w:rsidRPr="00C42008">
        <w:rPr>
          <w:szCs w:val="24"/>
        </w:rPr>
        <w:t xml:space="preserve"> health professions education functions at </w:t>
      </w:r>
      <w:r w:rsidR="008F543C" w:rsidRPr="00C42008">
        <w:rPr>
          <w:i/>
          <w:szCs w:val="24"/>
        </w:rPr>
        <w:t xml:space="preserve">Specialized </w:t>
      </w:r>
      <w:r w:rsidR="00036612" w:rsidRPr="00C42008">
        <w:rPr>
          <w:i/>
          <w:szCs w:val="24"/>
        </w:rPr>
        <w:t>I</w:t>
      </w:r>
      <w:r w:rsidR="008F543C" w:rsidRPr="00C42008">
        <w:rPr>
          <w:i/>
          <w:szCs w:val="24"/>
        </w:rPr>
        <w:t>nstitutions</w:t>
      </w:r>
      <w:r w:rsidR="008F543C" w:rsidRPr="00C42008">
        <w:rPr>
          <w:szCs w:val="24"/>
        </w:rPr>
        <w:t xml:space="preserve">; </w:t>
      </w:r>
      <w:r w:rsidRPr="00C42008">
        <w:rPr>
          <w:i/>
          <w:szCs w:val="24"/>
        </w:rPr>
        <w:t>Statewide System Operations</w:t>
      </w:r>
      <w:r w:rsidRPr="00C42008">
        <w:rPr>
          <w:szCs w:val="24"/>
        </w:rPr>
        <w:t xml:space="preserve"> includes allocations for </w:t>
      </w:r>
      <w:r w:rsidR="00FE290C">
        <w:rPr>
          <w:szCs w:val="24"/>
        </w:rPr>
        <w:t xml:space="preserve">multi-campus </w:t>
      </w:r>
      <w:r w:rsidRPr="00C42008">
        <w:rPr>
          <w:szCs w:val="24"/>
        </w:rPr>
        <w:t xml:space="preserve">coordinating or governing boards </w:t>
      </w:r>
      <w:r w:rsidR="008A757E">
        <w:rPr>
          <w:szCs w:val="24"/>
        </w:rPr>
        <w:t xml:space="preserve">where there is a </w:t>
      </w:r>
      <w:r w:rsidR="00F87881">
        <w:rPr>
          <w:szCs w:val="24"/>
        </w:rPr>
        <w:t xml:space="preserve">system head over campus heads and a </w:t>
      </w:r>
      <w:r w:rsidR="008A757E">
        <w:rPr>
          <w:szCs w:val="24"/>
        </w:rPr>
        <w:t>separate</w:t>
      </w:r>
      <w:r w:rsidR="00F87881">
        <w:rPr>
          <w:szCs w:val="24"/>
        </w:rPr>
        <w:t xml:space="preserve"> </w:t>
      </w:r>
      <w:r w:rsidR="008A757E">
        <w:rPr>
          <w:szCs w:val="24"/>
        </w:rPr>
        <w:t>system office</w:t>
      </w:r>
      <w:r w:rsidR="00C27E26">
        <w:rPr>
          <w:szCs w:val="24"/>
        </w:rPr>
        <w:t xml:space="preserve"> </w:t>
      </w:r>
      <w:r w:rsidR="00FE290C">
        <w:rPr>
          <w:szCs w:val="24"/>
        </w:rPr>
        <w:t>including</w:t>
      </w:r>
      <w:r w:rsidR="00FE290C" w:rsidRPr="00C42008">
        <w:rPr>
          <w:szCs w:val="24"/>
        </w:rPr>
        <w:t xml:space="preserve"> </w:t>
      </w:r>
      <w:r w:rsidRPr="00C42008">
        <w:rPr>
          <w:szCs w:val="24"/>
        </w:rPr>
        <w:t>two-year systems</w:t>
      </w:r>
      <w:r w:rsidR="008D2F1D">
        <w:rPr>
          <w:szCs w:val="24"/>
        </w:rPr>
        <w:t>,</w:t>
      </w:r>
      <w:r w:rsidR="008A757E" w:rsidRPr="00C42008">
        <w:rPr>
          <w:szCs w:val="24"/>
        </w:rPr>
        <w:t xml:space="preserve"> </w:t>
      </w:r>
      <w:r w:rsidRPr="00C42008">
        <w:rPr>
          <w:szCs w:val="24"/>
        </w:rPr>
        <w:t>if any; national or regional association</w:t>
      </w:r>
      <w:r w:rsidR="00F87881">
        <w:rPr>
          <w:szCs w:val="24"/>
        </w:rPr>
        <w:t xml:space="preserve"> membership amounts</w:t>
      </w:r>
      <w:r w:rsidRPr="00C42008">
        <w:rPr>
          <w:szCs w:val="24"/>
        </w:rPr>
        <w:t>, compact or consortia</w:t>
      </w:r>
      <w:r w:rsidR="00F87881">
        <w:rPr>
          <w:szCs w:val="24"/>
        </w:rPr>
        <w:t xml:space="preserve"> membership amounts</w:t>
      </w:r>
      <w:r w:rsidRPr="00C42008">
        <w:rPr>
          <w:szCs w:val="24"/>
        </w:rPr>
        <w:t xml:space="preserve">; and </w:t>
      </w:r>
      <w:r w:rsidR="00F87881">
        <w:rPr>
          <w:szCs w:val="24"/>
        </w:rPr>
        <w:t xml:space="preserve">amounts for the </w:t>
      </w:r>
      <w:r w:rsidRPr="00C42008">
        <w:rPr>
          <w:szCs w:val="24"/>
        </w:rPr>
        <w:t>adminis</w:t>
      </w:r>
      <w:r w:rsidR="00E719EA" w:rsidRPr="00C42008">
        <w:rPr>
          <w:szCs w:val="24"/>
        </w:rPr>
        <w:t>t</w:t>
      </w:r>
      <w:r w:rsidRPr="00C42008">
        <w:rPr>
          <w:szCs w:val="24"/>
        </w:rPr>
        <w:t>ration of statewide student financial aid programs including centralized guaranteed student loan administration</w:t>
      </w:r>
      <w:r w:rsidR="00F87881">
        <w:rPr>
          <w:szCs w:val="24"/>
        </w:rPr>
        <w:t>, if any</w:t>
      </w:r>
      <w:r w:rsidRPr="00C42008">
        <w:rPr>
          <w:szCs w:val="24"/>
        </w:rPr>
        <w:t xml:space="preserve">; </w:t>
      </w:r>
      <w:r w:rsidRPr="00C42008">
        <w:rPr>
          <w:i/>
          <w:szCs w:val="24"/>
        </w:rPr>
        <w:t xml:space="preserve">Support to Private Colleges Other Than for Student Financial </w:t>
      </w:r>
      <w:r w:rsidRPr="00C42008">
        <w:rPr>
          <w:i/>
          <w:szCs w:val="24"/>
        </w:rPr>
        <w:lastRenderedPageBreak/>
        <w:t>Aid</w:t>
      </w:r>
      <w:r w:rsidRPr="00C42008">
        <w:rPr>
          <w:szCs w:val="24"/>
        </w:rPr>
        <w:t xml:space="preserve">; </w:t>
      </w:r>
      <w:r w:rsidRPr="00C42008">
        <w:rPr>
          <w:i/>
          <w:szCs w:val="24"/>
        </w:rPr>
        <w:t xml:space="preserve">Contract Education Programs </w:t>
      </w:r>
      <w:r w:rsidRPr="00C42008">
        <w:rPr>
          <w:szCs w:val="24"/>
        </w:rPr>
        <w:t xml:space="preserve">includes the SREB contract programs with private colleges, the SREB contract </w:t>
      </w:r>
      <w:r w:rsidRPr="00C42008">
        <w:rPr>
          <w:i/>
          <w:szCs w:val="24"/>
        </w:rPr>
        <w:t>program</w:t>
      </w:r>
      <w:r w:rsidRPr="00C42008">
        <w:rPr>
          <w:szCs w:val="24"/>
        </w:rPr>
        <w:t xml:space="preserve"> with public colleges, and other contract education programs; and </w:t>
      </w:r>
      <w:r w:rsidRPr="00C42008">
        <w:rPr>
          <w:i/>
          <w:szCs w:val="24"/>
        </w:rPr>
        <w:t xml:space="preserve">Statewide Student Financial Aid Programs Administered Off Campus </w:t>
      </w:r>
      <w:r w:rsidRPr="00C42008">
        <w:rPr>
          <w:szCs w:val="24"/>
        </w:rPr>
        <w:t>includes aid available to public or private sector students, aid limited to public sector students, and limited to private sector students</w:t>
      </w:r>
      <w:r w:rsidR="008F543C" w:rsidRPr="00C42008">
        <w:rPr>
          <w:szCs w:val="24"/>
        </w:rPr>
        <w:t xml:space="preserve"> (estimate based on prior year </w:t>
      </w:r>
      <w:r w:rsidR="00827882" w:rsidRPr="00C42008">
        <w:rPr>
          <w:szCs w:val="24"/>
        </w:rPr>
        <w:t>data</w:t>
      </w:r>
      <w:r w:rsidR="008F543C" w:rsidRPr="00C42008">
        <w:rPr>
          <w:szCs w:val="24"/>
        </w:rPr>
        <w:t xml:space="preserve"> if not specified in the appropriations bill)</w:t>
      </w:r>
      <w:r w:rsidRPr="00C42008">
        <w:rPr>
          <w:szCs w:val="24"/>
        </w:rPr>
        <w:t xml:space="preserve">. Need-based and non need-based </w:t>
      </w:r>
      <w:r w:rsidR="008F543C" w:rsidRPr="00C42008">
        <w:rPr>
          <w:szCs w:val="24"/>
        </w:rPr>
        <w:t>amounts are</w:t>
      </w:r>
      <w:r w:rsidRPr="00C42008">
        <w:rPr>
          <w:szCs w:val="24"/>
        </w:rPr>
        <w:t xml:space="preserve"> reported separately.</w:t>
      </w:r>
      <w:r w:rsidR="00EF2FDA" w:rsidRPr="00C42008">
        <w:rPr>
          <w:szCs w:val="24"/>
        </w:rPr>
        <w:t xml:space="preserve"> Please list by individual program name where possible.</w:t>
      </w:r>
    </w:p>
    <w:p w:rsidR="003F6030" w:rsidRDefault="003F6030" w:rsidP="0039387E">
      <w:pPr>
        <w:pStyle w:val="DefaultText"/>
        <w:spacing w:after="120"/>
        <w:rPr>
          <w:szCs w:val="24"/>
        </w:rPr>
      </w:pPr>
      <w:r w:rsidRPr="00C42008">
        <w:rPr>
          <w:szCs w:val="24"/>
        </w:rPr>
        <w:t xml:space="preserve">There are three types of state operating appropriations for health-professions education (including overhead) that </w:t>
      </w:r>
      <w:r w:rsidRPr="00C42008">
        <w:rPr>
          <w:szCs w:val="24"/>
          <w:u w:val="single"/>
        </w:rPr>
        <w:t>should</w:t>
      </w:r>
      <w:r w:rsidRPr="00C42008">
        <w:rPr>
          <w:szCs w:val="24"/>
        </w:rPr>
        <w:t xml:space="preserve"> be reported in the health-professions education columns: </w:t>
      </w:r>
      <w:r w:rsidR="00A24CEE" w:rsidRPr="00C42008">
        <w:rPr>
          <w:szCs w:val="24"/>
        </w:rPr>
        <w:t xml:space="preserve">1) </w:t>
      </w:r>
      <w:r w:rsidRPr="00C42008">
        <w:rPr>
          <w:szCs w:val="24"/>
        </w:rPr>
        <w:t xml:space="preserve">all operating appropriations to specialized institutions which serve primarily as health-science centers; </w:t>
      </w:r>
      <w:r w:rsidR="00A24CEE" w:rsidRPr="00C42008">
        <w:rPr>
          <w:szCs w:val="24"/>
        </w:rPr>
        <w:t xml:space="preserve">2) </w:t>
      </w:r>
      <w:r w:rsidRPr="00C42008">
        <w:rPr>
          <w:szCs w:val="24"/>
        </w:rPr>
        <w:t xml:space="preserve">operating appropriations for medical schools and other health professions education, including dentistry, optometry, nursing, pharmacy, allied health and teaching hospitals at all institutions that have medical schools; and </w:t>
      </w:r>
      <w:r w:rsidR="00A24CEE" w:rsidRPr="00C42008">
        <w:rPr>
          <w:szCs w:val="24"/>
        </w:rPr>
        <w:t xml:space="preserve">3) </w:t>
      </w:r>
      <w:r w:rsidRPr="00C42008">
        <w:rPr>
          <w:szCs w:val="24"/>
        </w:rPr>
        <w:t>all operating appropriations for schools of veterinary medicine.</w:t>
      </w:r>
    </w:p>
    <w:p w:rsidR="0056195A" w:rsidRPr="00C42008" w:rsidRDefault="003F6030" w:rsidP="0039387E">
      <w:pPr>
        <w:pStyle w:val="DefaultText"/>
        <w:spacing w:after="120"/>
        <w:rPr>
          <w:szCs w:val="24"/>
        </w:rPr>
      </w:pPr>
      <w:r w:rsidRPr="00C42008">
        <w:rPr>
          <w:szCs w:val="24"/>
        </w:rPr>
        <w:t>The final element of fundi</w:t>
      </w:r>
      <w:r w:rsidR="0012431B" w:rsidRPr="00C42008">
        <w:rPr>
          <w:szCs w:val="24"/>
        </w:rPr>
        <w:t xml:space="preserve">ng is tuition and fee revenue. </w:t>
      </w:r>
      <w:r w:rsidRPr="00C42008">
        <w:rPr>
          <w:szCs w:val="24"/>
        </w:rPr>
        <w:t xml:space="preserve">Please report </w:t>
      </w:r>
      <w:r w:rsidR="0056195A" w:rsidRPr="00C42008">
        <w:rPr>
          <w:szCs w:val="24"/>
        </w:rPr>
        <w:t xml:space="preserve">revenue from </w:t>
      </w:r>
      <w:r w:rsidRPr="00C42008">
        <w:rPr>
          <w:szCs w:val="24"/>
        </w:rPr>
        <w:t>tuition and fee</w:t>
      </w:r>
      <w:r w:rsidR="0056195A" w:rsidRPr="00C42008">
        <w:rPr>
          <w:szCs w:val="24"/>
        </w:rPr>
        <w:t>s</w:t>
      </w:r>
      <w:r w:rsidRPr="00C42008">
        <w:rPr>
          <w:szCs w:val="24"/>
        </w:rPr>
        <w:t xml:space="preserve"> for </w:t>
      </w:r>
      <w:r w:rsidR="001D5CF9" w:rsidRPr="00C42008">
        <w:rPr>
          <w:szCs w:val="24"/>
        </w:rPr>
        <w:t>20</w:t>
      </w:r>
      <w:r w:rsidR="00C27E26">
        <w:rPr>
          <w:szCs w:val="24"/>
        </w:rPr>
        <w:t>1</w:t>
      </w:r>
      <w:r w:rsidR="0039387E">
        <w:rPr>
          <w:szCs w:val="24"/>
        </w:rPr>
        <w:t>1</w:t>
      </w:r>
      <w:r w:rsidR="001D5CF9">
        <w:rPr>
          <w:szCs w:val="24"/>
        </w:rPr>
        <w:t>-1</w:t>
      </w:r>
      <w:r w:rsidR="0039387E">
        <w:rPr>
          <w:szCs w:val="24"/>
        </w:rPr>
        <w:t>2</w:t>
      </w:r>
      <w:r w:rsidR="001D5CF9" w:rsidRPr="00C42008">
        <w:rPr>
          <w:szCs w:val="24"/>
        </w:rPr>
        <w:t xml:space="preserve"> </w:t>
      </w:r>
      <w:r w:rsidR="0056195A" w:rsidRPr="00C42008">
        <w:rPr>
          <w:szCs w:val="24"/>
        </w:rPr>
        <w:t>(estimate, if necessary)</w:t>
      </w:r>
      <w:r w:rsidRPr="00C42008">
        <w:rPr>
          <w:szCs w:val="24"/>
        </w:rPr>
        <w:t xml:space="preserve"> and separately identify amounts </w:t>
      </w:r>
      <w:r w:rsidR="00712B8F" w:rsidRPr="00C42008">
        <w:rPr>
          <w:szCs w:val="24"/>
        </w:rPr>
        <w:t>mandated for or used for</w:t>
      </w:r>
      <w:r w:rsidRPr="00C42008">
        <w:rPr>
          <w:szCs w:val="24"/>
        </w:rPr>
        <w:t xml:space="preserve"> debt service.</w:t>
      </w:r>
      <w:r w:rsidR="00D72871" w:rsidRPr="00C42008">
        <w:rPr>
          <w:szCs w:val="24"/>
        </w:rPr>
        <w:t xml:space="preserve"> </w:t>
      </w:r>
      <w:r w:rsidR="008E3E05" w:rsidRPr="00C42008">
        <w:rPr>
          <w:szCs w:val="24"/>
        </w:rPr>
        <w:t>Include the following “E&amp;G” categories: unrestricted tuition and fees revenues; restricted tuition and fees revenues such as technology fees and registration fees; what IPEDS calls discounts and allowances applied to tuition and fees; and continuing education tuition and fees revenues. Exclude the following “auxiliary” categories: housing, athletics, student activity, recreation, parking and health fees; and what IPEDS calls discounts and allowances applied to auxiliaries.</w:t>
      </w:r>
    </w:p>
    <w:p w:rsidR="003F6030" w:rsidRPr="00C42008" w:rsidRDefault="003F6030" w:rsidP="0039387E">
      <w:pPr>
        <w:pStyle w:val="DefaultText"/>
        <w:spacing w:after="120"/>
        <w:rPr>
          <w:szCs w:val="24"/>
          <w:u w:val="single"/>
        </w:rPr>
      </w:pPr>
      <w:r w:rsidRPr="00C42008">
        <w:rPr>
          <w:szCs w:val="24"/>
          <w:u w:val="single"/>
        </w:rPr>
        <w:t xml:space="preserve">Report the </w:t>
      </w:r>
      <w:r w:rsidR="00E40B6A" w:rsidRPr="00C42008">
        <w:rPr>
          <w:szCs w:val="24"/>
          <w:u w:val="single"/>
        </w:rPr>
        <w:t>20</w:t>
      </w:r>
      <w:r w:rsidR="00C27E26">
        <w:rPr>
          <w:szCs w:val="24"/>
          <w:u w:val="single"/>
        </w:rPr>
        <w:t>1</w:t>
      </w:r>
      <w:r w:rsidR="0039387E">
        <w:rPr>
          <w:szCs w:val="24"/>
          <w:u w:val="single"/>
        </w:rPr>
        <w:t>1</w:t>
      </w:r>
      <w:r w:rsidR="00A95B92" w:rsidRPr="00C42008">
        <w:rPr>
          <w:szCs w:val="24"/>
          <w:u w:val="single"/>
        </w:rPr>
        <w:t>-</w:t>
      </w:r>
      <w:r w:rsidR="00210B2F" w:rsidRPr="00C42008">
        <w:rPr>
          <w:szCs w:val="24"/>
          <w:u w:val="single"/>
        </w:rPr>
        <w:t>1</w:t>
      </w:r>
      <w:r w:rsidR="0039387E">
        <w:rPr>
          <w:szCs w:val="24"/>
          <w:u w:val="single"/>
        </w:rPr>
        <w:t>2</w:t>
      </w:r>
      <w:r w:rsidRPr="00C42008">
        <w:rPr>
          <w:szCs w:val="24"/>
          <w:u w:val="single"/>
        </w:rPr>
        <w:t xml:space="preserve"> </w:t>
      </w:r>
      <w:r w:rsidR="00827882" w:rsidRPr="00C42008">
        <w:rPr>
          <w:szCs w:val="24"/>
          <w:u w:val="single"/>
        </w:rPr>
        <w:t xml:space="preserve">amounts </w:t>
      </w:r>
      <w:r w:rsidRPr="00C42008">
        <w:rPr>
          <w:szCs w:val="24"/>
          <w:u w:val="single"/>
        </w:rPr>
        <w:t>reflecting any reductions or increases announced by Dec</w:t>
      </w:r>
      <w:r w:rsidR="0056195A" w:rsidRPr="00C42008">
        <w:rPr>
          <w:szCs w:val="24"/>
          <w:u w:val="single"/>
        </w:rPr>
        <w:t>ember</w:t>
      </w:r>
      <w:r w:rsidRPr="00C42008">
        <w:rPr>
          <w:szCs w:val="24"/>
          <w:u w:val="single"/>
        </w:rPr>
        <w:t xml:space="preserve"> 31, 20</w:t>
      </w:r>
      <w:r w:rsidR="00C27E26">
        <w:rPr>
          <w:szCs w:val="24"/>
          <w:u w:val="single"/>
        </w:rPr>
        <w:t>1</w:t>
      </w:r>
      <w:r w:rsidR="0039387E">
        <w:rPr>
          <w:szCs w:val="24"/>
          <w:u w:val="single"/>
        </w:rPr>
        <w:t>1</w:t>
      </w:r>
      <w:r w:rsidRPr="00C42008">
        <w:rPr>
          <w:szCs w:val="24"/>
          <w:u w:val="single"/>
        </w:rPr>
        <w:t>.</w:t>
      </w:r>
      <w:r w:rsidR="0056195A" w:rsidRPr="00C42008">
        <w:rPr>
          <w:szCs w:val="24"/>
          <w:u w:val="single"/>
        </w:rPr>
        <w:t xml:space="preserve"> Revise 20</w:t>
      </w:r>
      <w:r w:rsidR="0039387E">
        <w:rPr>
          <w:szCs w:val="24"/>
          <w:u w:val="single"/>
        </w:rPr>
        <w:t>10</w:t>
      </w:r>
      <w:r w:rsidR="00A95B92" w:rsidRPr="00C42008">
        <w:rPr>
          <w:szCs w:val="24"/>
          <w:u w:val="single"/>
        </w:rPr>
        <w:t>-</w:t>
      </w:r>
      <w:r w:rsidR="00C27E26">
        <w:rPr>
          <w:szCs w:val="24"/>
          <w:u w:val="single"/>
        </w:rPr>
        <w:t>1</w:t>
      </w:r>
      <w:r w:rsidR="0039387E">
        <w:rPr>
          <w:szCs w:val="24"/>
          <w:u w:val="single"/>
        </w:rPr>
        <w:t>1</w:t>
      </w:r>
      <w:r w:rsidR="0056195A" w:rsidRPr="00C42008">
        <w:rPr>
          <w:szCs w:val="24"/>
          <w:u w:val="single"/>
        </w:rPr>
        <w:t xml:space="preserve"> </w:t>
      </w:r>
      <w:r w:rsidR="0056195A" w:rsidRPr="0039387E">
        <w:rPr>
          <w:szCs w:val="24"/>
        </w:rPr>
        <w:t>amounts</w:t>
      </w:r>
      <w:r w:rsidR="0056195A" w:rsidRPr="00C42008">
        <w:rPr>
          <w:szCs w:val="24"/>
          <w:u w:val="single"/>
        </w:rPr>
        <w:t xml:space="preserve"> to reflect any reductions or increases that occurred by </w:t>
      </w:r>
      <w:r w:rsidR="000F2089" w:rsidRPr="00C42008">
        <w:rPr>
          <w:szCs w:val="24"/>
          <w:u w:val="single"/>
        </w:rPr>
        <w:t>the end of the fiscal year</w:t>
      </w:r>
      <w:r w:rsidR="0056195A" w:rsidRPr="00C42008">
        <w:rPr>
          <w:szCs w:val="24"/>
          <w:u w:val="single"/>
        </w:rPr>
        <w:t>.</w:t>
      </w:r>
      <w:r w:rsidR="009B5B78" w:rsidRPr="00C42008">
        <w:rPr>
          <w:szCs w:val="24"/>
          <w:u w:val="single"/>
        </w:rPr>
        <w:t xml:space="preserve"> </w:t>
      </w:r>
      <w:r w:rsidR="00712B8F" w:rsidRPr="00C42008">
        <w:rPr>
          <w:szCs w:val="24"/>
          <w:u w:val="single"/>
        </w:rPr>
        <w:t xml:space="preserve">(Please </w:t>
      </w:r>
      <w:r w:rsidR="009526E3" w:rsidRPr="00C42008">
        <w:rPr>
          <w:szCs w:val="24"/>
          <w:u w:val="single"/>
        </w:rPr>
        <w:t>highlight</w:t>
      </w:r>
      <w:r w:rsidR="00712B8F" w:rsidRPr="00C42008">
        <w:rPr>
          <w:szCs w:val="24"/>
          <w:u w:val="single"/>
        </w:rPr>
        <w:t xml:space="preserve"> changes</w:t>
      </w:r>
      <w:r w:rsidR="009526E3" w:rsidRPr="00C42008">
        <w:rPr>
          <w:szCs w:val="24"/>
          <w:u w:val="single"/>
        </w:rPr>
        <w:t xml:space="preserve"> with a yellow background</w:t>
      </w:r>
      <w:r w:rsidR="00712B8F" w:rsidRPr="00C42008">
        <w:rPr>
          <w:szCs w:val="24"/>
          <w:u w:val="single"/>
        </w:rPr>
        <w:t xml:space="preserve">.) </w:t>
      </w:r>
      <w:proofErr w:type="gramStart"/>
      <w:r w:rsidR="009526E3" w:rsidRPr="00C42008">
        <w:rPr>
          <w:szCs w:val="24"/>
          <w:u w:val="single"/>
        </w:rPr>
        <w:t>F</w:t>
      </w:r>
      <w:r w:rsidR="009B5B78" w:rsidRPr="00C42008">
        <w:rPr>
          <w:szCs w:val="24"/>
          <w:u w:val="single"/>
        </w:rPr>
        <w:t>or 20</w:t>
      </w:r>
      <w:r w:rsidR="0039387E">
        <w:rPr>
          <w:szCs w:val="24"/>
          <w:u w:val="single"/>
        </w:rPr>
        <w:t>10</w:t>
      </w:r>
      <w:r w:rsidR="00A95B92" w:rsidRPr="00C42008">
        <w:rPr>
          <w:szCs w:val="24"/>
          <w:u w:val="single"/>
        </w:rPr>
        <w:t>-</w:t>
      </w:r>
      <w:r w:rsidR="00C27E26">
        <w:rPr>
          <w:szCs w:val="24"/>
          <w:u w:val="single"/>
        </w:rPr>
        <w:t>1</w:t>
      </w:r>
      <w:r w:rsidR="0039387E">
        <w:rPr>
          <w:szCs w:val="24"/>
          <w:u w:val="single"/>
        </w:rPr>
        <w:t>1</w:t>
      </w:r>
      <w:r w:rsidR="000F2089" w:rsidRPr="00C42008">
        <w:rPr>
          <w:szCs w:val="24"/>
          <w:u w:val="single"/>
        </w:rPr>
        <w:t xml:space="preserve"> amounts initially held (and reported) statewide for allocation during the fiscal year, distribute to appropriate campuses where applicable according to end-of-year figures</w:t>
      </w:r>
      <w:r w:rsidR="000F2089" w:rsidRPr="00C42008">
        <w:rPr>
          <w:szCs w:val="24"/>
        </w:rPr>
        <w:t>.</w:t>
      </w:r>
      <w:proofErr w:type="gramEnd"/>
    </w:p>
    <w:p w:rsidR="003F6030" w:rsidRPr="00C42008" w:rsidRDefault="003F6030" w:rsidP="0039387E">
      <w:pPr>
        <w:pStyle w:val="DefaultText"/>
        <w:spacing w:after="120"/>
        <w:rPr>
          <w:szCs w:val="24"/>
        </w:rPr>
      </w:pPr>
      <w:r w:rsidRPr="00C42008">
        <w:rPr>
          <w:szCs w:val="24"/>
        </w:rPr>
        <w:t>The general-purpose operating appropriation, educational special-purpose funds and tuition and fee</w:t>
      </w:r>
      <w:r w:rsidR="008E463C" w:rsidRPr="00C42008">
        <w:rPr>
          <w:szCs w:val="24"/>
        </w:rPr>
        <w:t>s</w:t>
      </w:r>
      <w:r w:rsidRPr="00C42008">
        <w:rPr>
          <w:szCs w:val="24"/>
        </w:rPr>
        <w:t xml:space="preserve"> revenue are related to public undergraduate and gr</w:t>
      </w:r>
      <w:r w:rsidR="0012431B" w:rsidRPr="00C42008">
        <w:rPr>
          <w:szCs w:val="24"/>
        </w:rPr>
        <w:t xml:space="preserve">aduate FTE in the </w:t>
      </w:r>
      <w:r w:rsidR="00E22C21" w:rsidRPr="00C42008">
        <w:rPr>
          <w:szCs w:val="24"/>
        </w:rPr>
        <w:t>SREB-State Data Exchange</w:t>
      </w:r>
      <w:r w:rsidR="0012431B" w:rsidRPr="00C42008">
        <w:rPr>
          <w:szCs w:val="24"/>
        </w:rPr>
        <w:t xml:space="preserve"> report</w:t>
      </w:r>
      <w:r w:rsidR="00E22C21" w:rsidRPr="00C42008">
        <w:rPr>
          <w:szCs w:val="24"/>
        </w:rPr>
        <w:t>s</w:t>
      </w:r>
      <w:r w:rsidR="0012431B" w:rsidRPr="00C42008">
        <w:rPr>
          <w:szCs w:val="24"/>
        </w:rPr>
        <w:t xml:space="preserve">. </w:t>
      </w:r>
      <w:r w:rsidRPr="00C42008">
        <w:rPr>
          <w:szCs w:val="24"/>
        </w:rPr>
        <w:t xml:space="preserve">Other special-purpose funds and funds </w:t>
      </w:r>
      <w:r w:rsidR="00F6638D" w:rsidRPr="00C42008">
        <w:rPr>
          <w:szCs w:val="24"/>
        </w:rPr>
        <w:t xml:space="preserve">for health profession education </w:t>
      </w:r>
      <w:r w:rsidRPr="00C42008">
        <w:rPr>
          <w:szCs w:val="24"/>
        </w:rPr>
        <w:t xml:space="preserve">are used to show the distribution of funds by purpose in the </w:t>
      </w:r>
      <w:r w:rsidR="00E22C21" w:rsidRPr="00C42008">
        <w:rPr>
          <w:szCs w:val="24"/>
        </w:rPr>
        <w:t xml:space="preserve">SREB-State Data Exchange </w:t>
      </w:r>
      <w:r w:rsidRPr="00C42008">
        <w:rPr>
          <w:szCs w:val="24"/>
        </w:rPr>
        <w:t>report</w:t>
      </w:r>
      <w:r w:rsidR="00E22C21" w:rsidRPr="00C42008">
        <w:rPr>
          <w:szCs w:val="24"/>
        </w:rPr>
        <w:t>s</w:t>
      </w:r>
      <w:r w:rsidRPr="00C42008">
        <w:rPr>
          <w:szCs w:val="24"/>
        </w:rPr>
        <w:t>.</w:t>
      </w:r>
    </w:p>
    <w:p w:rsidR="00273376" w:rsidRDefault="00273376" w:rsidP="007C0191">
      <w:pPr>
        <w:pStyle w:val="Header"/>
        <w:ind w:firstLine="0"/>
        <w:jc w:val="center"/>
        <w:outlineLvl w:val="0"/>
        <w:rPr>
          <w:szCs w:val="24"/>
        </w:rPr>
      </w:pPr>
    </w:p>
    <w:p w:rsidR="007705B9" w:rsidRPr="00C42008" w:rsidRDefault="007705B9" w:rsidP="007C0191">
      <w:pPr>
        <w:pStyle w:val="Header"/>
        <w:ind w:firstLine="0"/>
        <w:jc w:val="center"/>
        <w:outlineLvl w:val="0"/>
        <w:rPr>
          <w:szCs w:val="24"/>
        </w:rPr>
      </w:pPr>
    </w:p>
    <w:p w:rsidR="003F6030" w:rsidRPr="00C42008" w:rsidRDefault="003F6030" w:rsidP="007C0191">
      <w:pPr>
        <w:pStyle w:val="Header"/>
        <w:ind w:firstLine="0"/>
        <w:jc w:val="center"/>
        <w:outlineLvl w:val="0"/>
        <w:rPr>
          <w:b/>
          <w:bCs/>
          <w:szCs w:val="24"/>
        </w:rPr>
      </w:pPr>
      <w:r w:rsidRPr="00C42008">
        <w:rPr>
          <w:b/>
          <w:bCs/>
          <w:szCs w:val="24"/>
        </w:rPr>
        <w:t xml:space="preserve">Part </w:t>
      </w:r>
      <w:r w:rsidR="00FB47DD" w:rsidRPr="00C42008">
        <w:rPr>
          <w:b/>
          <w:bCs/>
          <w:szCs w:val="24"/>
        </w:rPr>
        <w:t>7</w:t>
      </w:r>
    </w:p>
    <w:p w:rsidR="003F6030" w:rsidRPr="00C42008" w:rsidRDefault="003F6030" w:rsidP="007C0191">
      <w:pPr>
        <w:pStyle w:val="Header"/>
        <w:ind w:firstLine="0"/>
        <w:jc w:val="center"/>
        <w:rPr>
          <w:b/>
          <w:bCs/>
          <w:szCs w:val="24"/>
        </w:rPr>
      </w:pPr>
      <w:r w:rsidRPr="00C42008">
        <w:rPr>
          <w:b/>
          <w:bCs/>
          <w:szCs w:val="24"/>
        </w:rPr>
        <w:t xml:space="preserve">Tuition and Mandatory Fees Charged Full-time </w:t>
      </w:r>
    </w:p>
    <w:p w:rsidR="003F6030" w:rsidRPr="00C42008" w:rsidRDefault="003F6030" w:rsidP="00FA51C6">
      <w:pPr>
        <w:pStyle w:val="Header"/>
        <w:ind w:firstLine="0"/>
        <w:jc w:val="center"/>
        <w:rPr>
          <w:b/>
          <w:bCs/>
          <w:szCs w:val="24"/>
        </w:rPr>
      </w:pPr>
      <w:r w:rsidRPr="00C42008">
        <w:rPr>
          <w:b/>
          <w:bCs/>
          <w:szCs w:val="24"/>
        </w:rPr>
        <w:t>In-state and Out-of-state Students</w:t>
      </w:r>
    </w:p>
    <w:p w:rsidR="003F6030" w:rsidRPr="00C42008" w:rsidRDefault="003F6030" w:rsidP="007C0191">
      <w:pPr>
        <w:pStyle w:val="Header"/>
        <w:ind w:firstLine="0"/>
        <w:jc w:val="center"/>
        <w:rPr>
          <w:szCs w:val="24"/>
        </w:rPr>
      </w:pPr>
    </w:p>
    <w:p w:rsidR="003F6030" w:rsidRDefault="003F6030" w:rsidP="0039387E">
      <w:pPr>
        <w:pStyle w:val="DefaultText"/>
        <w:spacing w:after="120"/>
        <w:rPr>
          <w:szCs w:val="24"/>
        </w:rPr>
      </w:pPr>
      <w:r w:rsidRPr="00C42008">
        <w:rPr>
          <w:szCs w:val="24"/>
        </w:rPr>
        <w:t xml:space="preserve">Report annualized tuition and mandatory fees charged all full-time students for the </w:t>
      </w:r>
      <w:r w:rsidR="00E40B6A" w:rsidRPr="00C42008">
        <w:rPr>
          <w:szCs w:val="24"/>
        </w:rPr>
        <w:t>20</w:t>
      </w:r>
      <w:r w:rsidR="00C27E26">
        <w:rPr>
          <w:szCs w:val="24"/>
        </w:rPr>
        <w:t>10</w:t>
      </w:r>
      <w:r w:rsidR="005519AD" w:rsidRPr="00C42008">
        <w:rPr>
          <w:szCs w:val="24"/>
        </w:rPr>
        <w:t>-</w:t>
      </w:r>
      <w:r w:rsidR="00210B2F" w:rsidRPr="00C42008">
        <w:rPr>
          <w:szCs w:val="24"/>
        </w:rPr>
        <w:t>1</w:t>
      </w:r>
      <w:r w:rsidR="00C27E26">
        <w:rPr>
          <w:szCs w:val="24"/>
        </w:rPr>
        <w:t>1</w:t>
      </w:r>
      <w:r w:rsidRPr="00C42008">
        <w:rPr>
          <w:szCs w:val="24"/>
        </w:rPr>
        <w:t xml:space="preserve"> academic year. Mandatory fees are those assessed each full-time under</w:t>
      </w:r>
      <w:r w:rsidR="00FA51C6" w:rsidRPr="00C42008">
        <w:rPr>
          <w:szCs w:val="24"/>
        </w:rPr>
        <w:t>gra</w:t>
      </w:r>
      <w:r w:rsidRPr="00C42008">
        <w:rPr>
          <w:szCs w:val="24"/>
        </w:rPr>
        <w:t xml:space="preserve">duate or graduate student regardless of student level or program of study. For example, fees charged only to students in music, laboratory, or nursing courses or other fees unique to a given situation such as late registration or automobile registration should not be reported. Mandatory fees include </w:t>
      </w:r>
      <w:r w:rsidR="00B03B57" w:rsidRPr="00C42008">
        <w:rPr>
          <w:szCs w:val="24"/>
        </w:rPr>
        <w:t>ones</w:t>
      </w:r>
      <w:r w:rsidRPr="00C42008">
        <w:rPr>
          <w:szCs w:val="24"/>
        </w:rPr>
        <w:t xml:space="preserve"> such as health services</w:t>
      </w:r>
      <w:r w:rsidR="00B03B57" w:rsidRPr="00C42008">
        <w:rPr>
          <w:szCs w:val="24"/>
        </w:rPr>
        <w:t xml:space="preserve"> fees</w:t>
      </w:r>
      <w:r w:rsidRPr="00C42008">
        <w:rPr>
          <w:szCs w:val="24"/>
        </w:rPr>
        <w:t>, building use fees, activity fees, athletic fees and auxiliary fees, where the fee is not optional for full-time students.</w:t>
      </w:r>
    </w:p>
    <w:p w:rsidR="003F6030" w:rsidRDefault="003F6030" w:rsidP="00FA51C6">
      <w:pPr>
        <w:pStyle w:val="DefaultText"/>
        <w:spacing w:after="120"/>
        <w:rPr>
          <w:szCs w:val="24"/>
        </w:rPr>
      </w:pPr>
      <w:r w:rsidRPr="00C42008">
        <w:rPr>
          <w:szCs w:val="24"/>
        </w:rPr>
        <w:t>For purposes of this report, a full-time undergraduate is defined by the following loads: 30 credit hours per year for students on semester systems; 45 credit hours per year for students on quarter systems; and 900 hours per year for students on contact hour sys</w:t>
      </w:r>
      <w:r w:rsidR="0012431B" w:rsidRPr="00C42008">
        <w:rPr>
          <w:szCs w:val="24"/>
        </w:rPr>
        <w:t xml:space="preserve">tems. </w:t>
      </w:r>
      <w:r w:rsidRPr="00C42008">
        <w:rPr>
          <w:szCs w:val="24"/>
        </w:rPr>
        <w:t>A full-time graduate student is defined by the following loads: 24 credit hours per year for students on semester systems; and 36 credit hours for students on quarter sys</w:t>
      </w:r>
      <w:r w:rsidR="00055196" w:rsidRPr="00C42008">
        <w:rPr>
          <w:szCs w:val="24"/>
        </w:rPr>
        <w:t>tem</w:t>
      </w:r>
      <w:r w:rsidRPr="00C42008">
        <w:rPr>
          <w:szCs w:val="24"/>
        </w:rPr>
        <w:t>s.</w:t>
      </w:r>
    </w:p>
    <w:p w:rsidR="007705B9" w:rsidRDefault="007705B9" w:rsidP="007705B9">
      <w:pPr>
        <w:pStyle w:val="DefaultText"/>
        <w:spacing w:after="120"/>
        <w:rPr>
          <w:color w:val="000000"/>
          <w:szCs w:val="24"/>
        </w:rPr>
      </w:pPr>
      <w:r>
        <w:rPr>
          <w:szCs w:val="24"/>
        </w:rPr>
        <w:lastRenderedPageBreak/>
        <w:t xml:space="preserve">While </w:t>
      </w:r>
      <w:r>
        <w:rPr>
          <w:color w:val="000000"/>
          <w:szCs w:val="24"/>
        </w:rPr>
        <w:t>IPEDS defines a full-time student for purposes of reporting tuition and fees as a 12 semester hour load per term, since that is what qualifies a student as full time for federal student aid purposes. The Data Exchange defines a full-time student for purposes of reporting tuition and fees as a 15 semester hour load per term, since that is the load that will lead to students finishing on time.</w:t>
      </w:r>
    </w:p>
    <w:p w:rsidR="007705B9" w:rsidRPr="00C42008" w:rsidRDefault="007705B9" w:rsidP="00FA51C6">
      <w:pPr>
        <w:pStyle w:val="DefaultText"/>
        <w:spacing w:after="120"/>
        <w:rPr>
          <w:szCs w:val="24"/>
        </w:rPr>
      </w:pPr>
    </w:p>
    <w:p w:rsidR="0056195A" w:rsidRPr="00C42008" w:rsidRDefault="0056195A" w:rsidP="00FA51C6">
      <w:pPr>
        <w:pStyle w:val="DefaultText"/>
        <w:spacing w:after="120"/>
        <w:rPr>
          <w:b/>
          <w:szCs w:val="24"/>
        </w:rPr>
      </w:pPr>
      <w:r w:rsidRPr="00C42008">
        <w:rPr>
          <w:b/>
          <w:szCs w:val="24"/>
        </w:rPr>
        <w:t xml:space="preserve">If </w:t>
      </w:r>
      <w:r w:rsidR="000A7816" w:rsidRPr="00C42008">
        <w:rPr>
          <w:b/>
          <w:szCs w:val="24"/>
        </w:rPr>
        <w:t xml:space="preserve">undergraduate, graduate or </w:t>
      </w:r>
      <w:r w:rsidRPr="00C42008">
        <w:rPr>
          <w:b/>
          <w:szCs w:val="24"/>
        </w:rPr>
        <w:t xml:space="preserve">first-professional program tuition and fees differ by student level, report </w:t>
      </w:r>
      <w:r w:rsidR="000A7816" w:rsidRPr="00C42008">
        <w:rPr>
          <w:b/>
          <w:szCs w:val="24"/>
        </w:rPr>
        <w:t>student charges for entering (first year) students.</w:t>
      </w:r>
    </w:p>
    <w:p w:rsidR="003F6030" w:rsidRDefault="003F6030" w:rsidP="001F508D">
      <w:pPr>
        <w:pStyle w:val="DefaultText"/>
        <w:spacing w:after="120"/>
        <w:rPr>
          <w:szCs w:val="24"/>
        </w:rPr>
      </w:pPr>
      <w:r w:rsidRPr="00C42008">
        <w:rPr>
          <w:szCs w:val="24"/>
        </w:rPr>
        <w:t xml:space="preserve">For two-year colleges and technical institutions, </w:t>
      </w:r>
      <w:r w:rsidR="0012431B" w:rsidRPr="00C42008">
        <w:rPr>
          <w:szCs w:val="24"/>
        </w:rPr>
        <w:t>“</w:t>
      </w:r>
      <w:r w:rsidRPr="00C42008">
        <w:rPr>
          <w:szCs w:val="24"/>
        </w:rPr>
        <w:t>in</w:t>
      </w:r>
      <w:r w:rsidR="00B03B57" w:rsidRPr="00C42008">
        <w:rPr>
          <w:szCs w:val="24"/>
        </w:rPr>
        <w:t>-</w:t>
      </w:r>
      <w:r w:rsidRPr="00C42008">
        <w:rPr>
          <w:szCs w:val="24"/>
        </w:rPr>
        <w:t>district</w:t>
      </w:r>
      <w:r w:rsidR="0012431B" w:rsidRPr="00C42008">
        <w:rPr>
          <w:szCs w:val="24"/>
        </w:rPr>
        <w:t>”</w:t>
      </w:r>
      <w:r w:rsidRPr="00C42008">
        <w:rPr>
          <w:szCs w:val="24"/>
        </w:rPr>
        <w:t xml:space="preserve"> rates should be reported in the </w:t>
      </w:r>
      <w:r w:rsidR="0012431B" w:rsidRPr="00C42008">
        <w:rPr>
          <w:szCs w:val="24"/>
        </w:rPr>
        <w:t>“</w:t>
      </w:r>
      <w:r w:rsidR="00B03B57" w:rsidRPr="00C42008">
        <w:rPr>
          <w:szCs w:val="24"/>
        </w:rPr>
        <w:t>in-</w:t>
      </w:r>
      <w:r w:rsidRPr="00C42008">
        <w:rPr>
          <w:szCs w:val="24"/>
        </w:rPr>
        <w:t>state</w:t>
      </w:r>
      <w:r w:rsidR="0012431B" w:rsidRPr="00C42008">
        <w:rPr>
          <w:szCs w:val="24"/>
        </w:rPr>
        <w:t>”</w:t>
      </w:r>
      <w:r w:rsidRPr="00C42008">
        <w:rPr>
          <w:szCs w:val="24"/>
        </w:rPr>
        <w:t xml:space="preserve"> column. </w:t>
      </w:r>
      <w:r w:rsidR="0012431B" w:rsidRPr="00C42008">
        <w:rPr>
          <w:szCs w:val="24"/>
        </w:rPr>
        <w:t>“</w:t>
      </w:r>
      <w:r w:rsidRPr="00C42008">
        <w:rPr>
          <w:szCs w:val="24"/>
        </w:rPr>
        <w:t>Out-of-district</w:t>
      </w:r>
      <w:r w:rsidR="0012431B" w:rsidRPr="00C42008">
        <w:rPr>
          <w:szCs w:val="24"/>
        </w:rPr>
        <w:t>”</w:t>
      </w:r>
      <w:r w:rsidRPr="00C42008">
        <w:rPr>
          <w:szCs w:val="24"/>
        </w:rPr>
        <w:t xml:space="preserve"> rates can be reported in the </w:t>
      </w:r>
      <w:r w:rsidR="0012431B" w:rsidRPr="00C42008">
        <w:rPr>
          <w:szCs w:val="24"/>
        </w:rPr>
        <w:t>“</w:t>
      </w:r>
      <w:r w:rsidRPr="00C42008">
        <w:rPr>
          <w:szCs w:val="24"/>
        </w:rPr>
        <w:t>out-of-state</w:t>
      </w:r>
      <w:r w:rsidR="0012431B" w:rsidRPr="00C42008">
        <w:rPr>
          <w:szCs w:val="24"/>
        </w:rPr>
        <w:t>”</w:t>
      </w:r>
      <w:r w:rsidRPr="00C42008">
        <w:rPr>
          <w:szCs w:val="24"/>
        </w:rPr>
        <w:t xml:space="preserve"> column, </w:t>
      </w:r>
      <w:r w:rsidRPr="00C42008">
        <w:rPr>
          <w:i/>
          <w:szCs w:val="24"/>
          <w:u w:val="single"/>
        </w:rPr>
        <w:t>if no other out-of-state rates apply</w:t>
      </w:r>
      <w:r w:rsidRPr="00C42008">
        <w:rPr>
          <w:szCs w:val="24"/>
        </w:rPr>
        <w:t>.</w:t>
      </w:r>
      <w:r w:rsidR="001F508D" w:rsidRPr="00C42008">
        <w:rPr>
          <w:szCs w:val="24"/>
        </w:rPr>
        <w:t xml:space="preserve"> </w:t>
      </w:r>
      <w:r w:rsidRPr="00C42008">
        <w:rPr>
          <w:szCs w:val="24"/>
        </w:rPr>
        <w:t>These data are used to derive the median annualized tuition and mandatory fee statistics.</w:t>
      </w:r>
    </w:p>
    <w:p w:rsidR="007705B9" w:rsidRPr="00C42008" w:rsidRDefault="007705B9" w:rsidP="006B7CFB">
      <w:pPr>
        <w:pStyle w:val="Header"/>
        <w:ind w:firstLine="0"/>
        <w:jc w:val="center"/>
        <w:outlineLvl w:val="0"/>
        <w:rPr>
          <w:szCs w:val="24"/>
        </w:rPr>
      </w:pPr>
    </w:p>
    <w:p w:rsidR="003F6030" w:rsidRPr="00C42008" w:rsidRDefault="003F6030" w:rsidP="00D0367B">
      <w:pPr>
        <w:pStyle w:val="Header"/>
        <w:spacing w:before="120"/>
        <w:ind w:firstLine="0"/>
        <w:jc w:val="center"/>
        <w:rPr>
          <w:b/>
          <w:bCs/>
          <w:szCs w:val="24"/>
        </w:rPr>
      </w:pPr>
      <w:r w:rsidRPr="00C42008">
        <w:rPr>
          <w:b/>
          <w:bCs/>
          <w:szCs w:val="24"/>
        </w:rPr>
        <w:t xml:space="preserve">Part </w:t>
      </w:r>
      <w:r w:rsidR="00FB47DD" w:rsidRPr="00C42008">
        <w:rPr>
          <w:b/>
          <w:bCs/>
          <w:szCs w:val="24"/>
        </w:rPr>
        <w:t>8</w:t>
      </w:r>
    </w:p>
    <w:p w:rsidR="003F6030" w:rsidRPr="00C42008" w:rsidRDefault="007C0191" w:rsidP="008F296C">
      <w:pPr>
        <w:pStyle w:val="Header"/>
        <w:ind w:firstLine="0"/>
        <w:jc w:val="center"/>
        <w:rPr>
          <w:b/>
          <w:bCs/>
          <w:szCs w:val="24"/>
        </w:rPr>
      </w:pPr>
      <w:r w:rsidRPr="00C42008">
        <w:rPr>
          <w:b/>
          <w:bCs/>
          <w:szCs w:val="24"/>
        </w:rPr>
        <w:t xml:space="preserve">Tuition and </w:t>
      </w:r>
      <w:r w:rsidR="003F6030" w:rsidRPr="00C42008">
        <w:rPr>
          <w:b/>
          <w:bCs/>
          <w:szCs w:val="24"/>
        </w:rPr>
        <w:t xml:space="preserve">Related Policies </w:t>
      </w:r>
      <w:r w:rsidR="00FA51C6" w:rsidRPr="00C42008">
        <w:rPr>
          <w:b/>
          <w:bCs/>
          <w:szCs w:val="24"/>
        </w:rPr>
        <w:t>and Mid-Year Increases</w:t>
      </w:r>
    </w:p>
    <w:p w:rsidR="003F6030" w:rsidRPr="00C42008" w:rsidRDefault="003F6030">
      <w:pPr>
        <w:pStyle w:val="Header"/>
        <w:jc w:val="center"/>
        <w:rPr>
          <w:szCs w:val="24"/>
        </w:rPr>
      </w:pPr>
    </w:p>
    <w:p w:rsidR="003F6030" w:rsidRPr="00C42008" w:rsidRDefault="003F6030" w:rsidP="00FA51C6">
      <w:pPr>
        <w:pStyle w:val="DefaultText"/>
        <w:spacing w:after="120"/>
        <w:rPr>
          <w:szCs w:val="24"/>
        </w:rPr>
      </w:pPr>
      <w:r w:rsidRPr="00C42008">
        <w:rPr>
          <w:szCs w:val="24"/>
        </w:rPr>
        <w:t xml:space="preserve">Update </w:t>
      </w:r>
      <w:r w:rsidR="00712B8F" w:rsidRPr="00C42008">
        <w:rPr>
          <w:szCs w:val="24"/>
        </w:rPr>
        <w:t xml:space="preserve">and color code any changes to </w:t>
      </w:r>
      <w:r w:rsidRPr="00C42008">
        <w:rPr>
          <w:szCs w:val="24"/>
        </w:rPr>
        <w:t>the descriptions of your state</w:t>
      </w:r>
      <w:r w:rsidR="006951AA" w:rsidRPr="00C42008">
        <w:rPr>
          <w:szCs w:val="24"/>
        </w:rPr>
        <w:t>’</w:t>
      </w:r>
      <w:r w:rsidRPr="00C42008">
        <w:rPr>
          <w:szCs w:val="24"/>
        </w:rPr>
        <w:t xml:space="preserve">s tuition-related policies to reflect the </w:t>
      </w:r>
      <w:r w:rsidR="00E40B6A" w:rsidRPr="00C42008">
        <w:rPr>
          <w:szCs w:val="24"/>
        </w:rPr>
        <w:t>20</w:t>
      </w:r>
      <w:r w:rsidR="00C27E26">
        <w:rPr>
          <w:szCs w:val="24"/>
        </w:rPr>
        <w:t>1</w:t>
      </w:r>
      <w:r w:rsidR="007705B9">
        <w:rPr>
          <w:szCs w:val="24"/>
        </w:rPr>
        <w:t>1</w:t>
      </w:r>
      <w:r w:rsidR="005519AD" w:rsidRPr="00C42008">
        <w:rPr>
          <w:szCs w:val="24"/>
        </w:rPr>
        <w:t>-</w:t>
      </w:r>
      <w:r w:rsidR="00210B2F" w:rsidRPr="00C42008">
        <w:rPr>
          <w:szCs w:val="24"/>
        </w:rPr>
        <w:t>1</w:t>
      </w:r>
      <w:r w:rsidR="007705B9">
        <w:rPr>
          <w:szCs w:val="24"/>
        </w:rPr>
        <w:t>2</w:t>
      </w:r>
      <w:r w:rsidRPr="00C42008">
        <w:rPr>
          <w:szCs w:val="24"/>
        </w:rPr>
        <w:t xml:space="preserve"> aca</w:t>
      </w:r>
      <w:r w:rsidR="007C0191" w:rsidRPr="00C42008">
        <w:rPr>
          <w:szCs w:val="24"/>
        </w:rPr>
        <w:t xml:space="preserve">demic </w:t>
      </w:r>
      <w:proofErr w:type="gramStart"/>
      <w:r w:rsidR="007C0191" w:rsidRPr="00C42008">
        <w:rPr>
          <w:szCs w:val="24"/>
        </w:rPr>
        <w:t>year</w:t>
      </w:r>
      <w:proofErr w:type="gramEnd"/>
      <w:r w:rsidR="007C0191" w:rsidRPr="00C42008">
        <w:rPr>
          <w:szCs w:val="24"/>
        </w:rPr>
        <w:t xml:space="preserve">. </w:t>
      </w:r>
      <w:r w:rsidRPr="00C42008">
        <w:rPr>
          <w:szCs w:val="24"/>
        </w:rPr>
        <w:t>Who has the authority to set tuition and fee rates and establish policies? What method or guideline is used to set tuition rates? Are tuition and fee rates stair-stepped or by the credit hour? Are there policies on waiving, reducing or r</w:t>
      </w:r>
      <w:r w:rsidR="006951AA" w:rsidRPr="00C42008">
        <w:rPr>
          <w:szCs w:val="24"/>
        </w:rPr>
        <w:t xml:space="preserve">emitting non-resident tuition? </w:t>
      </w:r>
      <w:r w:rsidRPr="00C42008">
        <w:rPr>
          <w:szCs w:val="24"/>
        </w:rPr>
        <w:t>Are there caps or limits placed on non-resident enroll</w:t>
      </w:r>
      <w:r w:rsidR="006951AA" w:rsidRPr="00C42008">
        <w:rPr>
          <w:szCs w:val="24"/>
        </w:rPr>
        <w:t xml:space="preserve">ment? </w:t>
      </w:r>
      <w:r w:rsidR="00210B2F" w:rsidRPr="00C27E26">
        <w:rPr>
          <w:szCs w:val="24"/>
        </w:rPr>
        <w:t xml:space="preserve">Are there policies on the relation between in-state and out-of-state tuition rates? </w:t>
      </w:r>
      <w:r w:rsidRPr="00C27E26">
        <w:rPr>
          <w:szCs w:val="24"/>
        </w:rPr>
        <w:t>Are</w:t>
      </w:r>
      <w:r w:rsidRPr="00C42008">
        <w:rPr>
          <w:szCs w:val="24"/>
        </w:rPr>
        <w:t xml:space="preserve"> there t</w:t>
      </w:r>
      <w:r w:rsidR="006951AA" w:rsidRPr="00C42008">
        <w:rPr>
          <w:szCs w:val="24"/>
        </w:rPr>
        <w:t xml:space="preserve">uition reciprocity agreements? </w:t>
      </w:r>
      <w:r w:rsidRPr="00C42008">
        <w:rPr>
          <w:szCs w:val="24"/>
        </w:rPr>
        <w:t>Do you participate in the SREB Academic Common Market? To what extent must tuition and fee revenue be devo</w:t>
      </w:r>
      <w:r w:rsidR="006951AA" w:rsidRPr="00C42008">
        <w:rPr>
          <w:szCs w:val="24"/>
        </w:rPr>
        <w:t xml:space="preserve">ted to capital funding? </w:t>
      </w:r>
      <w:r w:rsidRPr="00C42008">
        <w:rPr>
          <w:szCs w:val="24"/>
        </w:rPr>
        <w:t>Are there oth</w:t>
      </w:r>
      <w:r w:rsidR="006951AA" w:rsidRPr="00C42008">
        <w:rPr>
          <w:szCs w:val="24"/>
        </w:rPr>
        <w:t xml:space="preserve">er sources of capital funding? </w:t>
      </w:r>
      <w:r w:rsidRPr="00C42008">
        <w:rPr>
          <w:szCs w:val="24"/>
        </w:rPr>
        <w:t>Is there a special electronic delivery tuition rate distinguished from regular in-state and out-of-state rates?</w:t>
      </w:r>
    </w:p>
    <w:p w:rsidR="00F55A3B" w:rsidRPr="00C42008" w:rsidRDefault="00F55A3B" w:rsidP="008F6347">
      <w:pPr>
        <w:pStyle w:val="DefaultText"/>
        <w:jc w:val="center"/>
        <w:rPr>
          <w:b/>
          <w:bCs/>
          <w:szCs w:val="24"/>
        </w:rPr>
      </w:pPr>
    </w:p>
    <w:p w:rsidR="003F6030" w:rsidRPr="00C42008" w:rsidRDefault="003F6030" w:rsidP="008F6347">
      <w:pPr>
        <w:pStyle w:val="DefaultText"/>
        <w:jc w:val="center"/>
        <w:rPr>
          <w:b/>
          <w:bCs/>
          <w:szCs w:val="24"/>
        </w:rPr>
      </w:pPr>
      <w:r w:rsidRPr="00C42008">
        <w:rPr>
          <w:b/>
          <w:bCs/>
          <w:szCs w:val="24"/>
        </w:rPr>
        <w:t xml:space="preserve">Part </w:t>
      </w:r>
      <w:r w:rsidR="00FB47DD" w:rsidRPr="00C42008">
        <w:rPr>
          <w:b/>
          <w:bCs/>
          <w:szCs w:val="24"/>
        </w:rPr>
        <w:t>9</w:t>
      </w:r>
    </w:p>
    <w:p w:rsidR="003F6030" w:rsidRPr="00C42008" w:rsidRDefault="003F6030">
      <w:pPr>
        <w:pStyle w:val="Header"/>
        <w:jc w:val="center"/>
        <w:rPr>
          <w:b/>
          <w:bCs/>
          <w:szCs w:val="24"/>
        </w:rPr>
      </w:pPr>
      <w:r w:rsidRPr="00C42008">
        <w:rPr>
          <w:b/>
          <w:bCs/>
          <w:szCs w:val="24"/>
        </w:rPr>
        <w:t>Average Salaries of Full-time Instructional Faculty</w:t>
      </w:r>
    </w:p>
    <w:p w:rsidR="003F6030" w:rsidRPr="00C42008" w:rsidRDefault="003F6030">
      <w:pPr>
        <w:pStyle w:val="DefaultText"/>
        <w:rPr>
          <w:szCs w:val="24"/>
        </w:rPr>
      </w:pPr>
    </w:p>
    <w:p w:rsidR="003F6030" w:rsidRPr="00C42008" w:rsidRDefault="003F6030" w:rsidP="006B7CFB">
      <w:pPr>
        <w:pStyle w:val="DefaultText"/>
        <w:spacing w:after="120"/>
        <w:rPr>
          <w:szCs w:val="24"/>
        </w:rPr>
      </w:pPr>
      <w:r w:rsidRPr="00C42008">
        <w:rPr>
          <w:szCs w:val="24"/>
        </w:rPr>
        <w:t xml:space="preserve">The SREB salary survey employs IPEDS guidelines. Report the salaries of faculty on either </w:t>
      </w:r>
      <w:r w:rsidR="004A6480" w:rsidRPr="00C42008">
        <w:rPr>
          <w:szCs w:val="24"/>
        </w:rPr>
        <w:t xml:space="preserve">a </w:t>
      </w:r>
      <w:r w:rsidRPr="00C42008">
        <w:rPr>
          <w:szCs w:val="24"/>
        </w:rPr>
        <w:t>9-10</w:t>
      </w:r>
      <w:r w:rsidR="004A6480" w:rsidRPr="00C42008">
        <w:rPr>
          <w:szCs w:val="24"/>
        </w:rPr>
        <w:t xml:space="preserve"> </w:t>
      </w:r>
      <w:r w:rsidRPr="00C42008">
        <w:rPr>
          <w:szCs w:val="24"/>
        </w:rPr>
        <w:t>month or</w:t>
      </w:r>
      <w:r w:rsidR="004A6480" w:rsidRPr="00C42008">
        <w:rPr>
          <w:szCs w:val="24"/>
        </w:rPr>
        <w:t xml:space="preserve"> </w:t>
      </w:r>
      <w:r w:rsidRPr="00C42008">
        <w:rPr>
          <w:szCs w:val="24"/>
        </w:rPr>
        <w:t>11-12</w:t>
      </w:r>
      <w:r w:rsidR="004A6480" w:rsidRPr="00C42008">
        <w:rPr>
          <w:szCs w:val="24"/>
        </w:rPr>
        <w:t xml:space="preserve"> </w:t>
      </w:r>
      <w:r w:rsidRPr="00C42008">
        <w:rPr>
          <w:szCs w:val="24"/>
        </w:rPr>
        <w:t xml:space="preserve">month basis for the </w:t>
      </w:r>
      <w:r w:rsidR="00E40B6A" w:rsidRPr="00C42008">
        <w:rPr>
          <w:szCs w:val="24"/>
        </w:rPr>
        <w:t>20</w:t>
      </w:r>
      <w:r w:rsidR="00C27E26">
        <w:rPr>
          <w:szCs w:val="24"/>
        </w:rPr>
        <w:t>1</w:t>
      </w:r>
      <w:r w:rsidR="007705B9">
        <w:rPr>
          <w:szCs w:val="24"/>
        </w:rPr>
        <w:t>1</w:t>
      </w:r>
      <w:r w:rsidR="00C03A71" w:rsidRPr="00C42008">
        <w:rPr>
          <w:szCs w:val="24"/>
        </w:rPr>
        <w:t>-</w:t>
      </w:r>
      <w:r w:rsidR="00210B2F" w:rsidRPr="00C42008">
        <w:rPr>
          <w:szCs w:val="24"/>
        </w:rPr>
        <w:t>1</w:t>
      </w:r>
      <w:r w:rsidR="007705B9">
        <w:rPr>
          <w:szCs w:val="24"/>
        </w:rPr>
        <w:t>2</w:t>
      </w:r>
      <w:r w:rsidRPr="00C42008">
        <w:rPr>
          <w:szCs w:val="24"/>
        </w:rPr>
        <w:t xml:space="preserve"> academic </w:t>
      </w:r>
      <w:proofErr w:type="gramStart"/>
      <w:r w:rsidRPr="00C42008">
        <w:rPr>
          <w:szCs w:val="24"/>
        </w:rPr>
        <w:t>year</w:t>
      </w:r>
      <w:proofErr w:type="gramEnd"/>
      <w:r w:rsidRPr="00C42008">
        <w:rPr>
          <w:szCs w:val="24"/>
        </w:rPr>
        <w:t>. Faculty should be reported on the basis of the contract period, not on the basis of the number of installments in which salaries are paid. Special salary amounts, such as those for special programs of longevity pay, should be in</w:t>
      </w:r>
      <w:r w:rsidR="00B03B57" w:rsidRPr="00C42008">
        <w:rPr>
          <w:szCs w:val="24"/>
        </w:rPr>
        <w:t>cluded.</w:t>
      </w:r>
      <w:r w:rsidR="00273376" w:rsidRPr="00C42008">
        <w:rPr>
          <w:szCs w:val="24"/>
        </w:rPr>
        <w:t xml:space="preserve"> </w:t>
      </w:r>
      <w:r w:rsidRPr="00C42008">
        <w:rPr>
          <w:szCs w:val="24"/>
          <w:u w:val="single"/>
        </w:rPr>
        <w:t>The averages reported should reflect actual, not budgeted faculty positions and should reflect the pro-rated value of any mid-year salary increases or cuts</w:t>
      </w:r>
      <w:r w:rsidRPr="00C42008">
        <w:rPr>
          <w:szCs w:val="24"/>
        </w:rPr>
        <w:t>.</w:t>
      </w:r>
    </w:p>
    <w:p w:rsidR="003F6030" w:rsidRPr="00C42008" w:rsidRDefault="003F6030" w:rsidP="006B7CFB">
      <w:pPr>
        <w:pStyle w:val="DefaultText"/>
        <w:spacing w:after="120"/>
        <w:rPr>
          <w:szCs w:val="24"/>
          <w:u w:val="single"/>
        </w:rPr>
      </w:pPr>
      <w:r w:rsidRPr="00C42008">
        <w:rPr>
          <w:szCs w:val="24"/>
        </w:rPr>
        <w:t xml:space="preserve">For </w:t>
      </w:r>
      <w:r w:rsidR="00813090" w:rsidRPr="00C42008">
        <w:rPr>
          <w:szCs w:val="24"/>
        </w:rPr>
        <w:t>purposes of the summary report</w:t>
      </w:r>
      <w:r w:rsidR="00F851BF" w:rsidRPr="00C42008">
        <w:rPr>
          <w:szCs w:val="24"/>
        </w:rPr>
        <w:t>,</w:t>
      </w:r>
      <w:r w:rsidR="00813090" w:rsidRPr="00C42008">
        <w:rPr>
          <w:szCs w:val="24"/>
        </w:rPr>
        <w:t xml:space="preserve"> </w:t>
      </w:r>
      <w:r w:rsidRPr="00C42008">
        <w:rPr>
          <w:szCs w:val="24"/>
        </w:rPr>
        <w:t>data reported in the 9-10 month section</w:t>
      </w:r>
      <w:r w:rsidR="00EC4F5C" w:rsidRPr="00C42008">
        <w:rPr>
          <w:szCs w:val="24"/>
        </w:rPr>
        <w:t xml:space="preserve"> is treated by </w:t>
      </w:r>
      <w:r w:rsidRPr="00C42008">
        <w:rPr>
          <w:szCs w:val="24"/>
        </w:rPr>
        <w:t xml:space="preserve">a factor of 1 or 100 percent in calculating nine-month-equivalent salaries. For data in the 11-12 month section, </w:t>
      </w:r>
      <w:r w:rsidR="00813090" w:rsidRPr="00C42008">
        <w:rPr>
          <w:szCs w:val="24"/>
        </w:rPr>
        <w:t xml:space="preserve">SREB applies </w:t>
      </w:r>
      <w:r w:rsidRPr="00C42008">
        <w:rPr>
          <w:szCs w:val="24"/>
        </w:rPr>
        <w:t xml:space="preserve">a factor of 9/11 or </w:t>
      </w:r>
      <w:r w:rsidR="00E133DB" w:rsidRPr="00C42008">
        <w:rPr>
          <w:szCs w:val="24"/>
        </w:rPr>
        <w:t>.</w:t>
      </w:r>
      <w:r w:rsidRPr="00C42008">
        <w:rPr>
          <w:szCs w:val="24"/>
        </w:rPr>
        <w:t>818</w:t>
      </w:r>
      <w:r w:rsidR="0022762D" w:rsidRPr="00C42008">
        <w:rPr>
          <w:szCs w:val="24"/>
        </w:rPr>
        <w:t>2</w:t>
      </w:r>
      <w:r w:rsidRPr="00C42008">
        <w:rPr>
          <w:szCs w:val="24"/>
        </w:rPr>
        <w:t xml:space="preserve">. If this procedure is not reasonably accurate for your data, then </w:t>
      </w:r>
      <w:r w:rsidR="00B03B57" w:rsidRPr="00C42008">
        <w:rPr>
          <w:szCs w:val="24"/>
        </w:rPr>
        <w:t xml:space="preserve">report your data in the 9-10 month </w:t>
      </w:r>
      <w:r w:rsidRPr="00C42008">
        <w:rPr>
          <w:szCs w:val="24"/>
        </w:rPr>
        <w:t xml:space="preserve">section </w:t>
      </w:r>
      <w:r w:rsidR="007705B9" w:rsidRPr="00C42008">
        <w:rPr>
          <w:szCs w:val="24"/>
          <w:u w:val="single"/>
        </w:rPr>
        <w:t>and</w:t>
      </w:r>
      <w:r w:rsidR="007705B9">
        <w:rPr>
          <w:szCs w:val="24"/>
          <w:u w:val="single"/>
        </w:rPr>
        <w:t xml:space="preserve"> </w:t>
      </w:r>
      <w:r w:rsidR="007705B9" w:rsidRPr="00C42008">
        <w:rPr>
          <w:szCs w:val="24"/>
          <w:u w:val="single"/>
        </w:rPr>
        <w:t>indicate</w:t>
      </w:r>
      <w:r w:rsidR="007C0191" w:rsidRPr="00C42008">
        <w:rPr>
          <w:szCs w:val="24"/>
          <w:u w:val="single"/>
        </w:rPr>
        <w:t>,</w:t>
      </w:r>
      <w:r w:rsidRPr="00C42008">
        <w:rPr>
          <w:szCs w:val="24"/>
          <w:u w:val="single"/>
        </w:rPr>
        <w:t xml:space="preserve"> </w:t>
      </w:r>
      <w:r w:rsidR="007C0191" w:rsidRPr="00C42008">
        <w:rPr>
          <w:szCs w:val="24"/>
          <w:u w:val="single"/>
        </w:rPr>
        <w:t xml:space="preserve">in a cell comment, </w:t>
      </w:r>
      <w:r w:rsidRPr="00C42008">
        <w:rPr>
          <w:szCs w:val="24"/>
          <w:u w:val="single"/>
        </w:rPr>
        <w:t>the factor or factors used to convert to nine-month</w:t>
      </w:r>
      <w:r w:rsidR="007E1B30" w:rsidRPr="00C42008">
        <w:rPr>
          <w:szCs w:val="24"/>
          <w:u w:val="single"/>
        </w:rPr>
        <w:t xml:space="preserve"> </w:t>
      </w:r>
      <w:r w:rsidRPr="00C42008">
        <w:rPr>
          <w:szCs w:val="24"/>
          <w:u w:val="single"/>
        </w:rPr>
        <w:t>equivalence and provide a brief rationale for not using the standard conversion factor</w:t>
      </w:r>
      <w:r w:rsidRPr="00C42008">
        <w:rPr>
          <w:szCs w:val="24"/>
        </w:rPr>
        <w:t>.</w:t>
      </w:r>
    </w:p>
    <w:p w:rsidR="003F6030" w:rsidRPr="00C42008" w:rsidRDefault="007E1B30" w:rsidP="006B7CFB">
      <w:pPr>
        <w:pStyle w:val="DefaultText"/>
        <w:spacing w:after="120"/>
        <w:rPr>
          <w:szCs w:val="24"/>
        </w:rPr>
      </w:pPr>
      <w:r w:rsidRPr="00C42008">
        <w:rPr>
          <w:szCs w:val="24"/>
        </w:rPr>
        <w:t>Do not report “all ranks”</w:t>
      </w:r>
      <w:r w:rsidR="003F6030" w:rsidRPr="00C42008">
        <w:rPr>
          <w:szCs w:val="24"/>
        </w:rPr>
        <w:t xml:space="preserve"> averages in the </w:t>
      </w:r>
      <w:r w:rsidRPr="00C42008">
        <w:rPr>
          <w:szCs w:val="24"/>
        </w:rPr>
        <w:t>“</w:t>
      </w:r>
      <w:r w:rsidR="003F6030" w:rsidRPr="00C42008">
        <w:rPr>
          <w:szCs w:val="24"/>
        </w:rPr>
        <w:t>single rank</w:t>
      </w:r>
      <w:r w:rsidRPr="00C42008">
        <w:rPr>
          <w:szCs w:val="24"/>
        </w:rPr>
        <w:t xml:space="preserve">” column. </w:t>
      </w:r>
      <w:r w:rsidR="003F6030" w:rsidRPr="00C42008">
        <w:rPr>
          <w:szCs w:val="24"/>
        </w:rPr>
        <w:t xml:space="preserve">The </w:t>
      </w:r>
      <w:r w:rsidRPr="00C42008">
        <w:rPr>
          <w:szCs w:val="24"/>
        </w:rPr>
        <w:t>“</w:t>
      </w:r>
      <w:r w:rsidR="003F6030" w:rsidRPr="00C42008">
        <w:rPr>
          <w:szCs w:val="24"/>
        </w:rPr>
        <w:t>single rank</w:t>
      </w:r>
      <w:r w:rsidRPr="00C42008">
        <w:rPr>
          <w:szCs w:val="24"/>
        </w:rPr>
        <w:t>”</w:t>
      </w:r>
      <w:r w:rsidR="003F6030" w:rsidRPr="00C42008">
        <w:rPr>
          <w:szCs w:val="24"/>
        </w:rPr>
        <w:t xml:space="preserve"> column is for the reporting of two-year college</w:t>
      </w:r>
      <w:r w:rsidR="0022762D" w:rsidRPr="00C42008">
        <w:rPr>
          <w:szCs w:val="24"/>
        </w:rPr>
        <w:t xml:space="preserve">s </w:t>
      </w:r>
      <w:r w:rsidR="003F6030" w:rsidRPr="00C42008">
        <w:rPr>
          <w:szCs w:val="24"/>
        </w:rPr>
        <w:t xml:space="preserve">who assign all </w:t>
      </w:r>
      <w:proofErr w:type="gramStart"/>
      <w:r w:rsidR="003F6030" w:rsidRPr="00C42008">
        <w:rPr>
          <w:szCs w:val="24"/>
        </w:rPr>
        <w:t>f</w:t>
      </w:r>
      <w:r w:rsidRPr="00C42008">
        <w:rPr>
          <w:szCs w:val="24"/>
        </w:rPr>
        <w:t>aculty</w:t>
      </w:r>
      <w:proofErr w:type="gramEnd"/>
      <w:r w:rsidRPr="00C42008">
        <w:rPr>
          <w:szCs w:val="24"/>
        </w:rPr>
        <w:t xml:space="preserve"> to one rank (most often “</w:t>
      </w:r>
      <w:r w:rsidR="003F6030" w:rsidRPr="00C42008">
        <w:rPr>
          <w:szCs w:val="24"/>
        </w:rPr>
        <w:t>instructor</w:t>
      </w:r>
      <w:r w:rsidRPr="00C42008">
        <w:rPr>
          <w:szCs w:val="24"/>
        </w:rPr>
        <w:t>”</w:t>
      </w:r>
      <w:r w:rsidR="003F6030" w:rsidRPr="00C42008">
        <w:rPr>
          <w:szCs w:val="24"/>
        </w:rPr>
        <w:t>).</w:t>
      </w:r>
    </w:p>
    <w:p w:rsidR="00E133DB" w:rsidRPr="00C42008" w:rsidRDefault="00E133DB" w:rsidP="006B7CFB">
      <w:pPr>
        <w:pStyle w:val="DefaultText"/>
        <w:spacing w:after="120"/>
        <w:rPr>
          <w:szCs w:val="24"/>
        </w:rPr>
      </w:pPr>
      <w:r w:rsidRPr="00C42008">
        <w:rPr>
          <w:szCs w:val="24"/>
        </w:rPr>
        <w:t>Do not report s</w:t>
      </w:r>
      <w:r w:rsidR="008F543C" w:rsidRPr="00C42008">
        <w:rPr>
          <w:szCs w:val="24"/>
        </w:rPr>
        <w:t xml:space="preserve">alary </w:t>
      </w:r>
      <w:r w:rsidRPr="00C42008">
        <w:rPr>
          <w:szCs w:val="24"/>
        </w:rPr>
        <w:t xml:space="preserve">data for </w:t>
      </w:r>
      <w:r w:rsidR="008F543C" w:rsidRPr="00C42008">
        <w:rPr>
          <w:szCs w:val="24"/>
        </w:rPr>
        <w:t>institutions categorized as Specialized.</w:t>
      </w:r>
      <w:r w:rsidR="007B258B" w:rsidRPr="00C42008">
        <w:rPr>
          <w:szCs w:val="24"/>
        </w:rPr>
        <w:t xml:space="preserve"> </w:t>
      </w:r>
      <w:r w:rsidRPr="00C42008">
        <w:rPr>
          <w:szCs w:val="24"/>
        </w:rPr>
        <w:t>Do not report faculty on less</w:t>
      </w:r>
      <w:r w:rsidR="00132333" w:rsidRPr="00C42008">
        <w:rPr>
          <w:szCs w:val="24"/>
        </w:rPr>
        <w:t>-</w:t>
      </w:r>
      <w:r w:rsidRPr="00C42008">
        <w:rPr>
          <w:szCs w:val="24"/>
        </w:rPr>
        <w:t>than</w:t>
      </w:r>
      <w:r w:rsidR="00132333" w:rsidRPr="00C42008">
        <w:rPr>
          <w:szCs w:val="24"/>
        </w:rPr>
        <w:t>-</w:t>
      </w:r>
      <w:r w:rsidRPr="00C42008">
        <w:rPr>
          <w:szCs w:val="24"/>
        </w:rPr>
        <w:t>9-month contracts.</w:t>
      </w:r>
    </w:p>
    <w:p w:rsidR="008575E0" w:rsidRPr="00C42008" w:rsidRDefault="00E133DB" w:rsidP="00E133DB">
      <w:pPr>
        <w:pStyle w:val="DefaultText"/>
        <w:rPr>
          <w:szCs w:val="24"/>
        </w:rPr>
      </w:pPr>
      <w:r w:rsidRPr="00C42008">
        <w:rPr>
          <w:szCs w:val="24"/>
        </w:rPr>
        <w:t xml:space="preserve">These data are used to calculate weighted average nine-month-equivalent faculty salaries. </w:t>
      </w:r>
      <w:r w:rsidRPr="00C42008">
        <w:rPr>
          <w:szCs w:val="24"/>
          <w:u w:val="single"/>
        </w:rPr>
        <w:t xml:space="preserve">Please report salary </w:t>
      </w:r>
      <w:r w:rsidR="007705B9" w:rsidRPr="00C42008">
        <w:rPr>
          <w:b/>
          <w:i/>
          <w:szCs w:val="24"/>
          <w:u w:val="single"/>
        </w:rPr>
        <w:t>averages</w:t>
      </w:r>
      <w:r w:rsidRPr="00C42008">
        <w:rPr>
          <w:szCs w:val="24"/>
          <w:u w:val="single"/>
        </w:rPr>
        <w:t xml:space="preserve"> not total dollar amounts</w:t>
      </w:r>
      <w:r w:rsidRPr="00C42008">
        <w:rPr>
          <w:szCs w:val="24"/>
        </w:rPr>
        <w:t>.</w:t>
      </w:r>
    </w:p>
    <w:p w:rsidR="00F55A3B" w:rsidRDefault="00F55A3B" w:rsidP="008575E0">
      <w:pPr>
        <w:pStyle w:val="DefaultText"/>
        <w:jc w:val="center"/>
        <w:rPr>
          <w:szCs w:val="24"/>
        </w:rPr>
      </w:pPr>
    </w:p>
    <w:sectPr w:rsidR="00F55A3B" w:rsidSect="00273376">
      <w:footerReference w:type="even" r:id="rId15"/>
      <w:footerReference w:type="default" r:id="rId16"/>
      <w:pgSz w:w="12240" w:h="15840" w:code="1"/>
      <w:pgMar w:top="1440" w:right="720" w:bottom="1008" w:left="864" w:header="0" w:footer="432" w:gutter="0"/>
      <w:cols w:space="17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5B9" w:rsidRDefault="007705B9">
      <w:r>
        <w:separator/>
      </w:r>
    </w:p>
  </w:endnote>
  <w:endnote w:type="continuationSeparator" w:id="0">
    <w:p w:rsidR="007705B9" w:rsidRDefault="007705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LotusWP Type">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Garamond">
    <w:panose1 w:val="00000500000000000000"/>
    <w:charset w:val="00"/>
    <w:family w:val="modern"/>
    <w:notTrueType/>
    <w:pitch w:val="variable"/>
    <w:sig w:usb0="00000003" w:usb1="00000000" w:usb2="00000000" w:usb3="00000000" w:csb0="00000001" w:csb1="00000000"/>
  </w:font>
  <w:font w:name="AGaramond Bold">
    <w:panose1 w:val="000005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5B9" w:rsidRDefault="007705B9" w:rsidP="00E537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05B9" w:rsidRDefault="007705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5B9" w:rsidRDefault="007705B9">
    <w:pPr>
      <w:pStyle w:val="Footer"/>
    </w:pPr>
    <w:r>
      <w:tab/>
    </w:r>
    <w:r>
      <w:tab/>
    </w:r>
    <w:r>
      <w:tab/>
    </w:r>
    <w:r>
      <w:tab/>
    </w: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5B9" w:rsidRDefault="007705B9">
      <w:r>
        <w:separator/>
      </w:r>
    </w:p>
  </w:footnote>
  <w:footnote w:type="continuationSeparator" w:id="0">
    <w:p w:rsidR="007705B9" w:rsidRDefault="007705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96E5F2E"/>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2">
    <w:nsid w:val="21E46232"/>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3">
    <w:nsid w:val="2A1063B2"/>
    <w:multiLevelType w:val="hybridMultilevel"/>
    <w:tmpl w:val="C4E03FC0"/>
    <w:lvl w:ilvl="0" w:tplc="687261E4">
      <w:start w:val="1"/>
      <w:numFmt w:val="bullet"/>
      <w:lvlText w:val=""/>
      <w:lvlJc w:val="left"/>
      <w:pPr>
        <w:tabs>
          <w:tab w:val="num" w:pos="64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nsid w:val="2BCB57E7"/>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5">
    <w:nsid w:val="2F9E6E68"/>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6">
    <w:nsid w:val="3B8511CF"/>
    <w:multiLevelType w:val="singleLevel"/>
    <w:tmpl w:val="9530C0C4"/>
    <w:lvl w:ilvl="0">
      <w:start w:val="1"/>
      <w:numFmt w:val="bullet"/>
      <w:lvlText w:val=""/>
      <w:lvlJc w:val="left"/>
      <w:pPr>
        <w:tabs>
          <w:tab w:val="num" w:pos="1080"/>
        </w:tabs>
        <w:ind w:left="1080" w:hanging="360"/>
      </w:pPr>
      <w:rPr>
        <w:rFonts w:ascii="Symbol" w:hAnsi="Symbol" w:hint="default"/>
      </w:rPr>
    </w:lvl>
  </w:abstractNum>
  <w:abstractNum w:abstractNumId="7">
    <w:nsid w:val="46D34CD9"/>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8">
    <w:nsid w:val="46FB3C8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497F610B"/>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10">
    <w:nsid w:val="4D341651"/>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11">
    <w:nsid w:val="50367462"/>
    <w:multiLevelType w:val="hybridMultilevel"/>
    <w:tmpl w:val="5DDE7208"/>
    <w:lvl w:ilvl="0" w:tplc="687261E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91555A7"/>
    <w:multiLevelType w:val="hybridMultilevel"/>
    <w:tmpl w:val="6D8868CC"/>
    <w:lvl w:ilvl="0" w:tplc="687261E4">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CBB3111"/>
    <w:multiLevelType w:val="singleLevel"/>
    <w:tmpl w:val="9530C0C4"/>
    <w:lvl w:ilvl="0">
      <w:start w:val="1"/>
      <w:numFmt w:val="bullet"/>
      <w:lvlText w:val=""/>
      <w:lvlJc w:val="left"/>
      <w:pPr>
        <w:tabs>
          <w:tab w:val="num" w:pos="1080"/>
        </w:tabs>
        <w:ind w:left="1080" w:hanging="360"/>
      </w:pPr>
      <w:rPr>
        <w:rFonts w:ascii="Symbol" w:hAnsi="Symbol" w:hint="default"/>
      </w:rPr>
    </w:lvl>
  </w:abstractNum>
  <w:abstractNum w:abstractNumId="14">
    <w:nsid w:val="66DE1F58"/>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15">
    <w:nsid w:val="6EC96721"/>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16">
    <w:nsid w:val="70094EE8"/>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17">
    <w:nsid w:val="75B62A45"/>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18">
    <w:nsid w:val="76C37395"/>
    <w:multiLevelType w:val="singleLevel"/>
    <w:tmpl w:val="9530C0C4"/>
    <w:lvl w:ilvl="0">
      <w:start w:val="1"/>
      <w:numFmt w:val="bullet"/>
      <w:lvlText w:val=""/>
      <w:lvlJc w:val="left"/>
      <w:pPr>
        <w:tabs>
          <w:tab w:val="num" w:pos="1080"/>
        </w:tabs>
        <w:ind w:left="1080" w:hanging="360"/>
      </w:pPr>
      <w:rPr>
        <w:rFonts w:ascii="Symbol" w:hAnsi="Symbol" w:hint="default"/>
      </w:rPr>
    </w:lvl>
  </w:abstractNum>
  <w:abstractNum w:abstractNumId="19">
    <w:nsid w:val="7DA33842"/>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num w:numId="1">
    <w:abstractNumId w:val="0"/>
    <w:lvlOverride w:ilvl="0">
      <w:lvl w:ilvl="0">
        <w:numFmt w:val="bullet"/>
        <w:lvlText w:val="{"/>
        <w:legacy w:legacy="1" w:legacySpace="0" w:legacyIndent="288"/>
        <w:lvlJc w:val="left"/>
        <w:pPr>
          <w:ind w:left="576" w:hanging="288"/>
        </w:pPr>
        <w:rPr>
          <w:rFonts w:ascii="LotusWP Type" w:hAnsi="LotusWP Type" w:hint="default"/>
          <w:sz w:val="24"/>
        </w:rPr>
      </w:lvl>
    </w:lvlOverride>
  </w:num>
  <w:num w:numId="2">
    <w:abstractNumId w:val="19"/>
  </w:num>
  <w:num w:numId="3">
    <w:abstractNumId w:val="2"/>
  </w:num>
  <w:num w:numId="4">
    <w:abstractNumId w:val="10"/>
  </w:num>
  <w:num w:numId="5">
    <w:abstractNumId w:val="7"/>
  </w:num>
  <w:num w:numId="6">
    <w:abstractNumId w:val="17"/>
  </w:num>
  <w:num w:numId="7">
    <w:abstractNumId w:val="16"/>
  </w:num>
  <w:num w:numId="8">
    <w:abstractNumId w:val="9"/>
  </w:num>
  <w:num w:numId="9">
    <w:abstractNumId w:val="15"/>
  </w:num>
  <w:num w:numId="10">
    <w:abstractNumId w:val="5"/>
  </w:num>
  <w:num w:numId="11">
    <w:abstractNumId w:val="1"/>
  </w:num>
  <w:num w:numId="12">
    <w:abstractNumId w:val="14"/>
  </w:num>
  <w:num w:numId="13">
    <w:abstractNumId w:val="4"/>
  </w:num>
  <w:num w:numId="14">
    <w:abstractNumId w:val="6"/>
  </w:num>
  <w:num w:numId="15">
    <w:abstractNumId w:val="18"/>
  </w:num>
  <w:num w:numId="16">
    <w:abstractNumId w:val="13"/>
  </w:num>
  <w:num w:numId="17">
    <w:abstractNumId w:val="8"/>
  </w:num>
  <w:num w:numId="18">
    <w:abstractNumId w:val="11"/>
  </w:num>
  <w:num w:numId="19">
    <w:abstractNumId w:val="12"/>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288"/>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817F4"/>
    <w:rsid w:val="00003D8B"/>
    <w:rsid w:val="00004965"/>
    <w:rsid w:val="00014379"/>
    <w:rsid w:val="000165F8"/>
    <w:rsid w:val="00026183"/>
    <w:rsid w:val="0002689F"/>
    <w:rsid w:val="00027727"/>
    <w:rsid w:val="00036612"/>
    <w:rsid w:val="00042A75"/>
    <w:rsid w:val="00043718"/>
    <w:rsid w:val="0004698E"/>
    <w:rsid w:val="00052F8B"/>
    <w:rsid w:val="00054758"/>
    <w:rsid w:val="00055196"/>
    <w:rsid w:val="0006082C"/>
    <w:rsid w:val="00062220"/>
    <w:rsid w:val="00065CAA"/>
    <w:rsid w:val="000776A4"/>
    <w:rsid w:val="00077BCB"/>
    <w:rsid w:val="000864AC"/>
    <w:rsid w:val="00086A2A"/>
    <w:rsid w:val="000A28AD"/>
    <w:rsid w:val="000A3767"/>
    <w:rsid w:val="000A5E08"/>
    <w:rsid w:val="000A7816"/>
    <w:rsid w:val="000B0D54"/>
    <w:rsid w:val="000B535A"/>
    <w:rsid w:val="000B5D55"/>
    <w:rsid w:val="000D0293"/>
    <w:rsid w:val="000D5AC4"/>
    <w:rsid w:val="000F04CF"/>
    <w:rsid w:val="000F1041"/>
    <w:rsid w:val="000F2089"/>
    <w:rsid w:val="000F7352"/>
    <w:rsid w:val="001014C8"/>
    <w:rsid w:val="00103412"/>
    <w:rsid w:val="00106BAB"/>
    <w:rsid w:val="00116F20"/>
    <w:rsid w:val="0012431B"/>
    <w:rsid w:val="00132333"/>
    <w:rsid w:val="00137214"/>
    <w:rsid w:val="0014614E"/>
    <w:rsid w:val="001506B2"/>
    <w:rsid w:val="001520BB"/>
    <w:rsid w:val="00157E45"/>
    <w:rsid w:val="00163840"/>
    <w:rsid w:val="00164350"/>
    <w:rsid w:val="001731EA"/>
    <w:rsid w:val="00174421"/>
    <w:rsid w:val="00185140"/>
    <w:rsid w:val="00185E14"/>
    <w:rsid w:val="00191298"/>
    <w:rsid w:val="00191E72"/>
    <w:rsid w:val="00193CCF"/>
    <w:rsid w:val="00194814"/>
    <w:rsid w:val="001A0658"/>
    <w:rsid w:val="001A6A13"/>
    <w:rsid w:val="001A7D74"/>
    <w:rsid w:val="001D2F45"/>
    <w:rsid w:val="001D3C92"/>
    <w:rsid w:val="001D510F"/>
    <w:rsid w:val="001D5CF9"/>
    <w:rsid w:val="001E6DD8"/>
    <w:rsid w:val="001E7C74"/>
    <w:rsid w:val="001F1348"/>
    <w:rsid w:val="001F2C60"/>
    <w:rsid w:val="001F482B"/>
    <w:rsid w:val="001F508D"/>
    <w:rsid w:val="001F7265"/>
    <w:rsid w:val="00201497"/>
    <w:rsid w:val="0020470A"/>
    <w:rsid w:val="00210B2F"/>
    <w:rsid w:val="002125D7"/>
    <w:rsid w:val="00214993"/>
    <w:rsid w:val="002244EB"/>
    <w:rsid w:val="0022638A"/>
    <w:rsid w:val="0022762D"/>
    <w:rsid w:val="00231D35"/>
    <w:rsid w:val="002401DA"/>
    <w:rsid w:val="002439C9"/>
    <w:rsid w:val="00251735"/>
    <w:rsid w:val="002569D3"/>
    <w:rsid w:val="002633B0"/>
    <w:rsid w:val="002704FC"/>
    <w:rsid w:val="00271D2E"/>
    <w:rsid w:val="00273376"/>
    <w:rsid w:val="0027633A"/>
    <w:rsid w:val="00276EF9"/>
    <w:rsid w:val="00281EFB"/>
    <w:rsid w:val="00283F1D"/>
    <w:rsid w:val="00287E4A"/>
    <w:rsid w:val="00296BA6"/>
    <w:rsid w:val="002A2759"/>
    <w:rsid w:val="002C5A56"/>
    <w:rsid w:val="002D1466"/>
    <w:rsid w:val="002D4773"/>
    <w:rsid w:val="002D678A"/>
    <w:rsid w:val="002E4D2F"/>
    <w:rsid w:val="002F048A"/>
    <w:rsid w:val="002F60D3"/>
    <w:rsid w:val="00300608"/>
    <w:rsid w:val="003024AA"/>
    <w:rsid w:val="00304B1C"/>
    <w:rsid w:val="00313570"/>
    <w:rsid w:val="003215E6"/>
    <w:rsid w:val="00331BC7"/>
    <w:rsid w:val="00334012"/>
    <w:rsid w:val="00383D65"/>
    <w:rsid w:val="00392D97"/>
    <w:rsid w:val="0039387E"/>
    <w:rsid w:val="003976DE"/>
    <w:rsid w:val="003A2606"/>
    <w:rsid w:val="003B01F4"/>
    <w:rsid w:val="003C10E9"/>
    <w:rsid w:val="003C1C9B"/>
    <w:rsid w:val="003C448D"/>
    <w:rsid w:val="003D0CDA"/>
    <w:rsid w:val="003E2B88"/>
    <w:rsid w:val="003E6090"/>
    <w:rsid w:val="003F6030"/>
    <w:rsid w:val="00402237"/>
    <w:rsid w:val="00402EFF"/>
    <w:rsid w:val="004054BC"/>
    <w:rsid w:val="0041205A"/>
    <w:rsid w:val="004157CA"/>
    <w:rsid w:val="004210FA"/>
    <w:rsid w:val="00424CD6"/>
    <w:rsid w:val="0043056E"/>
    <w:rsid w:val="0043493C"/>
    <w:rsid w:val="00435BE0"/>
    <w:rsid w:val="00452175"/>
    <w:rsid w:val="004528DD"/>
    <w:rsid w:val="0045383F"/>
    <w:rsid w:val="004546E6"/>
    <w:rsid w:val="00461783"/>
    <w:rsid w:val="004746CC"/>
    <w:rsid w:val="00474781"/>
    <w:rsid w:val="00492F63"/>
    <w:rsid w:val="00497F1D"/>
    <w:rsid w:val="004A194A"/>
    <w:rsid w:val="004A396B"/>
    <w:rsid w:val="004A4F2D"/>
    <w:rsid w:val="004A634A"/>
    <w:rsid w:val="004A6480"/>
    <w:rsid w:val="004B256A"/>
    <w:rsid w:val="004B2B81"/>
    <w:rsid w:val="004B34C4"/>
    <w:rsid w:val="004C38EC"/>
    <w:rsid w:val="004D0123"/>
    <w:rsid w:val="004D6945"/>
    <w:rsid w:val="004E167D"/>
    <w:rsid w:val="004E3ABC"/>
    <w:rsid w:val="004E5567"/>
    <w:rsid w:val="004F0EEA"/>
    <w:rsid w:val="00513CE3"/>
    <w:rsid w:val="00516430"/>
    <w:rsid w:val="00520FD1"/>
    <w:rsid w:val="005270CC"/>
    <w:rsid w:val="00531282"/>
    <w:rsid w:val="00535A56"/>
    <w:rsid w:val="00536D22"/>
    <w:rsid w:val="00543009"/>
    <w:rsid w:val="00545D9F"/>
    <w:rsid w:val="005519AD"/>
    <w:rsid w:val="005528D7"/>
    <w:rsid w:val="0056076D"/>
    <w:rsid w:val="0056195A"/>
    <w:rsid w:val="00563C63"/>
    <w:rsid w:val="0057368B"/>
    <w:rsid w:val="00576A2D"/>
    <w:rsid w:val="00584DF4"/>
    <w:rsid w:val="005854BB"/>
    <w:rsid w:val="00587FF0"/>
    <w:rsid w:val="00590B50"/>
    <w:rsid w:val="0059298A"/>
    <w:rsid w:val="00593DFB"/>
    <w:rsid w:val="00597193"/>
    <w:rsid w:val="005A2EA1"/>
    <w:rsid w:val="005B0DFF"/>
    <w:rsid w:val="005B7BC2"/>
    <w:rsid w:val="005B7BF3"/>
    <w:rsid w:val="005C3EE7"/>
    <w:rsid w:val="005C64E1"/>
    <w:rsid w:val="005C6706"/>
    <w:rsid w:val="005D6949"/>
    <w:rsid w:val="005E4870"/>
    <w:rsid w:val="005F2C8A"/>
    <w:rsid w:val="00604278"/>
    <w:rsid w:val="006120CF"/>
    <w:rsid w:val="00613167"/>
    <w:rsid w:val="006146F1"/>
    <w:rsid w:val="00614C90"/>
    <w:rsid w:val="0061635F"/>
    <w:rsid w:val="00616D22"/>
    <w:rsid w:val="00621371"/>
    <w:rsid w:val="00632D30"/>
    <w:rsid w:val="006411D7"/>
    <w:rsid w:val="00641E3C"/>
    <w:rsid w:val="00646456"/>
    <w:rsid w:val="00650512"/>
    <w:rsid w:val="0065217A"/>
    <w:rsid w:val="00656464"/>
    <w:rsid w:val="00661129"/>
    <w:rsid w:val="006654CC"/>
    <w:rsid w:val="00667768"/>
    <w:rsid w:val="00677097"/>
    <w:rsid w:val="00680C14"/>
    <w:rsid w:val="006838A5"/>
    <w:rsid w:val="00683AA7"/>
    <w:rsid w:val="006910E9"/>
    <w:rsid w:val="006951AA"/>
    <w:rsid w:val="00695A43"/>
    <w:rsid w:val="006B1834"/>
    <w:rsid w:val="006B712A"/>
    <w:rsid w:val="006B7CFB"/>
    <w:rsid w:val="006C1173"/>
    <w:rsid w:val="006D22B2"/>
    <w:rsid w:val="006D24C6"/>
    <w:rsid w:val="006D6AB1"/>
    <w:rsid w:val="006D6DA4"/>
    <w:rsid w:val="006E5D4C"/>
    <w:rsid w:val="006E7062"/>
    <w:rsid w:val="007072BD"/>
    <w:rsid w:val="007125B7"/>
    <w:rsid w:val="00712B8F"/>
    <w:rsid w:val="00713BEC"/>
    <w:rsid w:val="00715A86"/>
    <w:rsid w:val="00715EF9"/>
    <w:rsid w:val="00724492"/>
    <w:rsid w:val="00726104"/>
    <w:rsid w:val="00735DF7"/>
    <w:rsid w:val="00747C39"/>
    <w:rsid w:val="00763680"/>
    <w:rsid w:val="00764541"/>
    <w:rsid w:val="007705B9"/>
    <w:rsid w:val="00772CA2"/>
    <w:rsid w:val="00777A3E"/>
    <w:rsid w:val="00777D0F"/>
    <w:rsid w:val="00786367"/>
    <w:rsid w:val="007968F4"/>
    <w:rsid w:val="007A08FE"/>
    <w:rsid w:val="007A16E4"/>
    <w:rsid w:val="007A2985"/>
    <w:rsid w:val="007A3371"/>
    <w:rsid w:val="007B258B"/>
    <w:rsid w:val="007B42DA"/>
    <w:rsid w:val="007B70CF"/>
    <w:rsid w:val="007B76A0"/>
    <w:rsid w:val="007C014B"/>
    <w:rsid w:val="007C0191"/>
    <w:rsid w:val="007C1DE2"/>
    <w:rsid w:val="007C4C5C"/>
    <w:rsid w:val="007C6D4B"/>
    <w:rsid w:val="007C7043"/>
    <w:rsid w:val="007C792F"/>
    <w:rsid w:val="007D3D44"/>
    <w:rsid w:val="007D7F46"/>
    <w:rsid w:val="007E1B30"/>
    <w:rsid w:val="007F4377"/>
    <w:rsid w:val="008004D6"/>
    <w:rsid w:val="00804E57"/>
    <w:rsid w:val="00813090"/>
    <w:rsid w:val="00827882"/>
    <w:rsid w:val="00827DD3"/>
    <w:rsid w:val="00837FBA"/>
    <w:rsid w:val="00842DDA"/>
    <w:rsid w:val="00843916"/>
    <w:rsid w:val="00847A71"/>
    <w:rsid w:val="00853888"/>
    <w:rsid w:val="008575E0"/>
    <w:rsid w:val="00864A70"/>
    <w:rsid w:val="00866D2A"/>
    <w:rsid w:val="00872667"/>
    <w:rsid w:val="00881CCB"/>
    <w:rsid w:val="0089302C"/>
    <w:rsid w:val="00895ED6"/>
    <w:rsid w:val="0089642E"/>
    <w:rsid w:val="008A757E"/>
    <w:rsid w:val="008B5B40"/>
    <w:rsid w:val="008B6B92"/>
    <w:rsid w:val="008C521E"/>
    <w:rsid w:val="008C5D7C"/>
    <w:rsid w:val="008D04A4"/>
    <w:rsid w:val="008D2F1D"/>
    <w:rsid w:val="008D3776"/>
    <w:rsid w:val="008D424C"/>
    <w:rsid w:val="008D4476"/>
    <w:rsid w:val="008E14A7"/>
    <w:rsid w:val="008E206F"/>
    <w:rsid w:val="008E3E05"/>
    <w:rsid w:val="008E463C"/>
    <w:rsid w:val="008E6AC9"/>
    <w:rsid w:val="008F177F"/>
    <w:rsid w:val="008F296C"/>
    <w:rsid w:val="008F543C"/>
    <w:rsid w:val="008F56F7"/>
    <w:rsid w:val="008F5B1C"/>
    <w:rsid w:val="008F6347"/>
    <w:rsid w:val="00901D99"/>
    <w:rsid w:val="00905F0A"/>
    <w:rsid w:val="00913F89"/>
    <w:rsid w:val="00922897"/>
    <w:rsid w:val="00936754"/>
    <w:rsid w:val="00937318"/>
    <w:rsid w:val="00940643"/>
    <w:rsid w:val="0095224A"/>
    <w:rsid w:val="009526E3"/>
    <w:rsid w:val="00954D78"/>
    <w:rsid w:val="00960D1F"/>
    <w:rsid w:val="00961C05"/>
    <w:rsid w:val="0098395F"/>
    <w:rsid w:val="009844C7"/>
    <w:rsid w:val="009866CF"/>
    <w:rsid w:val="00987737"/>
    <w:rsid w:val="00990A86"/>
    <w:rsid w:val="009956B2"/>
    <w:rsid w:val="009A048B"/>
    <w:rsid w:val="009A1F8E"/>
    <w:rsid w:val="009A5845"/>
    <w:rsid w:val="009B5B78"/>
    <w:rsid w:val="009B7FAD"/>
    <w:rsid w:val="009C0FB4"/>
    <w:rsid w:val="009C2897"/>
    <w:rsid w:val="009E05B6"/>
    <w:rsid w:val="009E1D31"/>
    <w:rsid w:val="009F03C1"/>
    <w:rsid w:val="00A00267"/>
    <w:rsid w:val="00A005E2"/>
    <w:rsid w:val="00A031A3"/>
    <w:rsid w:val="00A16D66"/>
    <w:rsid w:val="00A17B90"/>
    <w:rsid w:val="00A24CEE"/>
    <w:rsid w:val="00A26C89"/>
    <w:rsid w:val="00A33C41"/>
    <w:rsid w:val="00A4028B"/>
    <w:rsid w:val="00A41D35"/>
    <w:rsid w:val="00A56C25"/>
    <w:rsid w:val="00A60085"/>
    <w:rsid w:val="00A61655"/>
    <w:rsid w:val="00A636AE"/>
    <w:rsid w:val="00A65076"/>
    <w:rsid w:val="00A7324D"/>
    <w:rsid w:val="00A8062B"/>
    <w:rsid w:val="00A8239B"/>
    <w:rsid w:val="00A83823"/>
    <w:rsid w:val="00A857D8"/>
    <w:rsid w:val="00A95B92"/>
    <w:rsid w:val="00A97101"/>
    <w:rsid w:val="00AA40C9"/>
    <w:rsid w:val="00AA5DFF"/>
    <w:rsid w:val="00AB3C18"/>
    <w:rsid w:val="00AC0539"/>
    <w:rsid w:val="00AC1138"/>
    <w:rsid w:val="00AD2FB3"/>
    <w:rsid w:val="00AD4089"/>
    <w:rsid w:val="00AE2C9A"/>
    <w:rsid w:val="00AE7357"/>
    <w:rsid w:val="00B01E11"/>
    <w:rsid w:val="00B03B57"/>
    <w:rsid w:val="00B05645"/>
    <w:rsid w:val="00B0676B"/>
    <w:rsid w:val="00B06E7B"/>
    <w:rsid w:val="00B21989"/>
    <w:rsid w:val="00B2241E"/>
    <w:rsid w:val="00B3017B"/>
    <w:rsid w:val="00B329DC"/>
    <w:rsid w:val="00B44290"/>
    <w:rsid w:val="00B50AB2"/>
    <w:rsid w:val="00B55719"/>
    <w:rsid w:val="00B63DB4"/>
    <w:rsid w:val="00B6676D"/>
    <w:rsid w:val="00B741B0"/>
    <w:rsid w:val="00B86E2E"/>
    <w:rsid w:val="00B9094D"/>
    <w:rsid w:val="00B973D4"/>
    <w:rsid w:val="00BA791F"/>
    <w:rsid w:val="00BA7DB6"/>
    <w:rsid w:val="00BC5DA8"/>
    <w:rsid w:val="00BC6A42"/>
    <w:rsid w:val="00BD6BEB"/>
    <w:rsid w:val="00BE14E4"/>
    <w:rsid w:val="00BE3A09"/>
    <w:rsid w:val="00BF11CB"/>
    <w:rsid w:val="00BF1A64"/>
    <w:rsid w:val="00C02246"/>
    <w:rsid w:val="00C03A71"/>
    <w:rsid w:val="00C06085"/>
    <w:rsid w:val="00C125C6"/>
    <w:rsid w:val="00C216FD"/>
    <w:rsid w:val="00C229FB"/>
    <w:rsid w:val="00C27E26"/>
    <w:rsid w:val="00C339FD"/>
    <w:rsid w:val="00C33C31"/>
    <w:rsid w:val="00C36913"/>
    <w:rsid w:val="00C40071"/>
    <w:rsid w:val="00C405B0"/>
    <w:rsid w:val="00C42008"/>
    <w:rsid w:val="00C441D8"/>
    <w:rsid w:val="00C56ED0"/>
    <w:rsid w:val="00C61E54"/>
    <w:rsid w:val="00C63AED"/>
    <w:rsid w:val="00C63CBE"/>
    <w:rsid w:val="00C67606"/>
    <w:rsid w:val="00C7212C"/>
    <w:rsid w:val="00C722BC"/>
    <w:rsid w:val="00C75CE2"/>
    <w:rsid w:val="00C81EB7"/>
    <w:rsid w:val="00C83459"/>
    <w:rsid w:val="00C978C6"/>
    <w:rsid w:val="00CA3AA6"/>
    <w:rsid w:val="00CA3E47"/>
    <w:rsid w:val="00CB17C6"/>
    <w:rsid w:val="00CC04F0"/>
    <w:rsid w:val="00CC4E8D"/>
    <w:rsid w:val="00CC58F6"/>
    <w:rsid w:val="00CC6BF5"/>
    <w:rsid w:val="00CC6DC4"/>
    <w:rsid w:val="00CD1165"/>
    <w:rsid w:val="00CD4C1E"/>
    <w:rsid w:val="00CE53A9"/>
    <w:rsid w:val="00CF6CDE"/>
    <w:rsid w:val="00D01208"/>
    <w:rsid w:val="00D0367B"/>
    <w:rsid w:val="00D1282D"/>
    <w:rsid w:val="00D16D01"/>
    <w:rsid w:val="00D30BCA"/>
    <w:rsid w:val="00D361E1"/>
    <w:rsid w:val="00D41A4A"/>
    <w:rsid w:val="00D42AC2"/>
    <w:rsid w:val="00D519CE"/>
    <w:rsid w:val="00D577E9"/>
    <w:rsid w:val="00D674EA"/>
    <w:rsid w:val="00D67956"/>
    <w:rsid w:val="00D71A4D"/>
    <w:rsid w:val="00D72871"/>
    <w:rsid w:val="00D734E8"/>
    <w:rsid w:val="00D817F4"/>
    <w:rsid w:val="00D84B87"/>
    <w:rsid w:val="00D91A1A"/>
    <w:rsid w:val="00DA39A8"/>
    <w:rsid w:val="00DB564B"/>
    <w:rsid w:val="00DD4888"/>
    <w:rsid w:val="00DE7F7E"/>
    <w:rsid w:val="00E00FEF"/>
    <w:rsid w:val="00E06DFF"/>
    <w:rsid w:val="00E1000D"/>
    <w:rsid w:val="00E133DB"/>
    <w:rsid w:val="00E2266A"/>
    <w:rsid w:val="00E22C21"/>
    <w:rsid w:val="00E266E6"/>
    <w:rsid w:val="00E40B6A"/>
    <w:rsid w:val="00E5378E"/>
    <w:rsid w:val="00E57D7A"/>
    <w:rsid w:val="00E6445D"/>
    <w:rsid w:val="00E70728"/>
    <w:rsid w:val="00E719EA"/>
    <w:rsid w:val="00E7463E"/>
    <w:rsid w:val="00EA2CDE"/>
    <w:rsid w:val="00EB143B"/>
    <w:rsid w:val="00EB37C7"/>
    <w:rsid w:val="00EC4F5C"/>
    <w:rsid w:val="00EC7CFA"/>
    <w:rsid w:val="00ED08B3"/>
    <w:rsid w:val="00ED6056"/>
    <w:rsid w:val="00EF2FDA"/>
    <w:rsid w:val="00F0491C"/>
    <w:rsid w:val="00F14940"/>
    <w:rsid w:val="00F15102"/>
    <w:rsid w:val="00F242F5"/>
    <w:rsid w:val="00F3772C"/>
    <w:rsid w:val="00F41912"/>
    <w:rsid w:val="00F505AB"/>
    <w:rsid w:val="00F50CF0"/>
    <w:rsid w:val="00F52B13"/>
    <w:rsid w:val="00F53710"/>
    <w:rsid w:val="00F540D8"/>
    <w:rsid w:val="00F55A3B"/>
    <w:rsid w:val="00F630F2"/>
    <w:rsid w:val="00F6638D"/>
    <w:rsid w:val="00F670FC"/>
    <w:rsid w:val="00F80FFF"/>
    <w:rsid w:val="00F851BF"/>
    <w:rsid w:val="00F87881"/>
    <w:rsid w:val="00F95D34"/>
    <w:rsid w:val="00FA2095"/>
    <w:rsid w:val="00FA51C6"/>
    <w:rsid w:val="00FB47DD"/>
    <w:rsid w:val="00FB56E7"/>
    <w:rsid w:val="00FB79BB"/>
    <w:rsid w:val="00FD41EB"/>
    <w:rsid w:val="00FE0BAF"/>
    <w:rsid w:val="00FE28E5"/>
    <w:rsid w:val="00FE290C"/>
    <w:rsid w:val="00FE3DAB"/>
    <w:rsid w:val="00FE4096"/>
    <w:rsid w:val="00FE5E4F"/>
    <w:rsid w:val="00FE71BF"/>
    <w:rsid w:val="00FF6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04">
      <o:colormru v:ext="edit" colors="#004979,#ffc,#004138"/>
      <o:colormenu v:ext="edit" fillcolor="#036" strokecolor="black"/>
    </o:shapedefaults>
    <o:shapelayout v:ext="edit">
      <o:idmap v:ext="edit" data="1"/>
      <o:rules v:ext="edit">
        <o:r id="V:Rule1" type="callout" idref="#_x0000_s1102"/>
        <o:r id="V:Rule2" type="callout" idref="#_x0000_s1097"/>
        <o:r id="V:Rule3" type="callout" idref="#_x0000_s1098"/>
        <o:r id="V:Rule4" type="callout" idref="#_x0000_s1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10"/>
  </w:style>
  <w:style w:type="paragraph" w:styleId="Heading5">
    <w:name w:val="heading 5"/>
    <w:basedOn w:val="Normal"/>
    <w:next w:val="Normal"/>
    <w:link w:val="Heading5Char"/>
    <w:uiPriority w:val="9"/>
    <w:unhideWhenUsed/>
    <w:qFormat/>
    <w:rsid w:val="007705B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53710"/>
  </w:style>
  <w:style w:type="paragraph" w:styleId="Header">
    <w:name w:val="header"/>
    <w:basedOn w:val="Normal"/>
    <w:rsid w:val="00F53710"/>
    <w:pPr>
      <w:ind w:firstLine="288"/>
    </w:pPr>
    <w:rPr>
      <w:sz w:val="24"/>
    </w:rPr>
  </w:style>
  <w:style w:type="paragraph" w:styleId="Footer">
    <w:name w:val="footer"/>
    <w:basedOn w:val="Normal"/>
    <w:rsid w:val="00F53710"/>
    <w:pPr>
      <w:ind w:firstLine="288"/>
    </w:pPr>
    <w:rPr>
      <w:sz w:val="24"/>
    </w:rPr>
  </w:style>
  <w:style w:type="paragraph" w:styleId="Title">
    <w:name w:val="Title"/>
    <w:basedOn w:val="Normal"/>
    <w:qFormat/>
    <w:rsid w:val="00F53710"/>
    <w:pPr>
      <w:keepNext/>
      <w:keepLines/>
      <w:spacing w:before="144" w:after="72"/>
      <w:ind w:firstLine="288"/>
      <w:jc w:val="center"/>
    </w:pPr>
    <w:rPr>
      <w:rFonts w:ascii="Arial" w:hAnsi="Arial"/>
      <w:b/>
      <w:sz w:val="36"/>
    </w:rPr>
  </w:style>
  <w:style w:type="paragraph" w:customStyle="1" w:styleId="TableText">
    <w:name w:val="Table Text"/>
    <w:basedOn w:val="Normal"/>
    <w:rsid w:val="00F53710"/>
    <w:pPr>
      <w:ind w:firstLine="288"/>
    </w:pPr>
    <w:rPr>
      <w:sz w:val="24"/>
    </w:rPr>
  </w:style>
  <w:style w:type="paragraph" w:customStyle="1" w:styleId="Subhead">
    <w:name w:val="Subhead"/>
    <w:basedOn w:val="Normal"/>
    <w:rsid w:val="00F53710"/>
    <w:pPr>
      <w:spacing w:before="72" w:after="72"/>
      <w:ind w:firstLine="288"/>
    </w:pPr>
    <w:rPr>
      <w:b/>
      <w:i/>
      <w:sz w:val="24"/>
    </w:rPr>
  </w:style>
  <w:style w:type="paragraph" w:customStyle="1" w:styleId="NumberList">
    <w:name w:val="Number List"/>
    <w:basedOn w:val="Normal"/>
    <w:rsid w:val="00F53710"/>
    <w:rPr>
      <w:sz w:val="24"/>
    </w:rPr>
  </w:style>
  <w:style w:type="paragraph" w:customStyle="1" w:styleId="Bullet1">
    <w:name w:val="Bullet 1"/>
    <w:basedOn w:val="Normal"/>
    <w:rsid w:val="00F53710"/>
    <w:rPr>
      <w:sz w:val="24"/>
    </w:rPr>
  </w:style>
  <w:style w:type="paragraph" w:customStyle="1" w:styleId="Bullet">
    <w:name w:val="Bullet"/>
    <w:basedOn w:val="Normal"/>
    <w:rsid w:val="00F53710"/>
    <w:rPr>
      <w:sz w:val="24"/>
    </w:rPr>
  </w:style>
  <w:style w:type="paragraph" w:customStyle="1" w:styleId="BodySingle">
    <w:name w:val="Body Single"/>
    <w:basedOn w:val="Normal"/>
    <w:rsid w:val="00F53710"/>
    <w:pPr>
      <w:ind w:firstLine="288"/>
    </w:pPr>
    <w:rPr>
      <w:sz w:val="24"/>
    </w:rPr>
  </w:style>
  <w:style w:type="paragraph" w:customStyle="1" w:styleId="DefaultText">
    <w:name w:val="Default Text"/>
    <w:basedOn w:val="Normal"/>
    <w:rsid w:val="00F53710"/>
    <w:pPr>
      <w:ind w:firstLine="288"/>
    </w:pPr>
    <w:rPr>
      <w:sz w:val="24"/>
    </w:rPr>
  </w:style>
  <w:style w:type="paragraph" w:styleId="DocumentMap">
    <w:name w:val="Document Map"/>
    <w:basedOn w:val="Normal"/>
    <w:semiHidden/>
    <w:rsid w:val="00F53710"/>
    <w:pPr>
      <w:shd w:val="clear" w:color="auto" w:fill="000080"/>
    </w:pPr>
    <w:rPr>
      <w:rFonts w:ascii="Tahoma" w:hAnsi="Tahoma"/>
    </w:rPr>
  </w:style>
  <w:style w:type="paragraph" w:styleId="BodyTextIndent">
    <w:name w:val="Body Text Indent"/>
    <w:basedOn w:val="Normal"/>
    <w:rsid w:val="00F53710"/>
    <w:pPr>
      <w:ind w:left="720"/>
    </w:pPr>
    <w:rPr>
      <w:rFonts w:ascii="AGaramond" w:hAnsi="AGaramond"/>
      <w:sz w:val="28"/>
    </w:rPr>
  </w:style>
  <w:style w:type="paragraph" w:styleId="BalloonText">
    <w:name w:val="Balloon Text"/>
    <w:basedOn w:val="Normal"/>
    <w:semiHidden/>
    <w:rsid w:val="00F630F2"/>
    <w:rPr>
      <w:rFonts w:ascii="Tahoma" w:hAnsi="Tahoma" w:cs="Tahoma"/>
      <w:sz w:val="16"/>
      <w:szCs w:val="16"/>
    </w:rPr>
  </w:style>
  <w:style w:type="character" w:styleId="CommentReference">
    <w:name w:val="annotation reference"/>
    <w:basedOn w:val="DefaultParagraphFont"/>
    <w:semiHidden/>
    <w:rsid w:val="00881CCB"/>
    <w:rPr>
      <w:sz w:val="16"/>
      <w:szCs w:val="16"/>
    </w:rPr>
  </w:style>
  <w:style w:type="paragraph" w:styleId="CommentText">
    <w:name w:val="annotation text"/>
    <w:basedOn w:val="Normal"/>
    <w:semiHidden/>
    <w:rsid w:val="00881CCB"/>
  </w:style>
  <w:style w:type="paragraph" w:styleId="CommentSubject">
    <w:name w:val="annotation subject"/>
    <w:basedOn w:val="CommentText"/>
    <w:next w:val="CommentText"/>
    <w:semiHidden/>
    <w:rsid w:val="00881CCB"/>
    <w:rPr>
      <w:b/>
      <w:bCs/>
    </w:rPr>
  </w:style>
  <w:style w:type="table" w:styleId="TableGrid">
    <w:name w:val="Table Grid"/>
    <w:basedOn w:val="TableNormal"/>
    <w:rsid w:val="00D67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90B50"/>
    <w:pPr>
      <w:spacing w:before="100" w:beforeAutospacing="1" w:after="100" w:afterAutospacing="1"/>
    </w:pPr>
    <w:rPr>
      <w:sz w:val="24"/>
      <w:szCs w:val="24"/>
    </w:rPr>
  </w:style>
  <w:style w:type="character" w:customStyle="1" w:styleId="grey9ptr">
    <w:name w:val="grey_9pt_r"/>
    <w:basedOn w:val="DefaultParagraphFont"/>
    <w:rsid w:val="00590B50"/>
  </w:style>
  <w:style w:type="character" w:styleId="Hyperlink">
    <w:name w:val="Hyperlink"/>
    <w:basedOn w:val="DefaultParagraphFont"/>
    <w:rsid w:val="00276EF9"/>
    <w:rPr>
      <w:color w:val="0000FF"/>
      <w:u w:val="single"/>
    </w:rPr>
  </w:style>
  <w:style w:type="character" w:customStyle="1" w:styleId="Heading5Char">
    <w:name w:val="Heading 5 Char"/>
    <w:basedOn w:val="DefaultParagraphFont"/>
    <w:link w:val="Heading5"/>
    <w:uiPriority w:val="9"/>
    <w:rsid w:val="007705B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18694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es.ed.gov/ipeds/glossary/index.asp?id=337" TargetMode="External"/><Relationship Id="rId13" Type="http://schemas.openxmlformats.org/officeDocument/2006/relationships/hyperlink" Target="http://nces.ed.gov/ipeds/glossary/index.asp?id=33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e.marks@sreb.org" TargetMode="External"/><Relationship Id="rId12" Type="http://schemas.openxmlformats.org/officeDocument/2006/relationships/hyperlink" Target="http://nces.ed.gov/ipeds/glossary/index.asp?id=10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es.ed.gov/ipeds/glossary/index.asp?id=17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nces.ed.gov/ipeds/glossary/index.asp?id=169" TargetMode="External"/><Relationship Id="rId4" Type="http://schemas.openxmlformats.org/officeDocument/2006/relationships/webSettings" Target="webSettings.xml"/><Relationship Id="rId9" Type="http://schemas.openxmlformats.org/officeDocument/2006/relationships/hyperlink" Target="http://nces.ed.gov/ipeds/glossary/index.asp?id=151" TargetMode="External"/><Relationship Id="rId14" Type="http://schemas.openxmlformats.org/officeDocument/2006/relationships/hyperlink" Target="http://nces.ed.gov/ipeds/glossary/index.asp?id=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6290</Words>
  <Characters>36446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SREB State Data Exchange Survey 1998-99</vt:lpstr>
    </vt:vector>
  </TitlesOfParts>
  <Company>SREB</Company>
  <LinksUpToDate>false</LinksUpToDate>
  <CharactersWithSpaces>42651</CharactersWithSpaces>
  <SharedDoc>false</SharedDoc>
  <HLinks>
    <vt:vector size="6" baseType="variant">
      <vt:variant>
        <vt:i4>4915262</vt:i4>
      </vt:variant>
      <vt:variant>
        <vt:i4>0</vt:i4>
      </vt:variant>
      <vt:variant>
        <vt:i4>0</vt:i4>
      </vt:variant>
      <vt:variant>
        <vt:i4>5</vt:i4>
      </vt:variant>
      <vt:variant>
        <vt:lpwstr>mailto:joe.marks@sreb.org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SREB State Data Exchange Survey 1998-99</dc:title>
  <dc:subject/>
  <dc:creator>Joe Marks</dc:creator>
  <cp:keywords/>
  <cp:lastModifiedBy>jmarks</cp:lastModifiedBy>
  <cp:revision>3</cp:revision>
  <cp:lastPrinted>2010-08-06T18:34:00Z</cp:lastPrinted>
  <dcterms:created xsi:type="dcterms:W3CDTF">2012-01-24T19:30:00Z</dcterms:created>
  <dcterms:modified xsi:type="dcterms:W3CDTF">2012-01-24T19:30:00Z</dcterms:modified>
</cp:coreProperties>
</file>